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6176"/>
        <w:gridCol w:w="3066"/>
      </w:tblGrid>
      <w:tr w:rsidR="00ED6A68" w14:paraId="5DFCA245" w14:textId="77777777" w:rsidTr="0065380E">
        <w:trPr>
          <w:trHeight w:val="557"/>
        </w:trPr>
        <w:tc>
          <w:tcPr>
            <w:tcW w:w="5000" w:type="pct"/>
            <w:gridSpan w:val="2"/>
            <w:vAlign w:val="center"/>
          </w:tcPr>
          <w:p w14:paraId="568596F2" w14:textId="1F125470" w:rsidR="00ED6A68" w:rsidRPr="00EA2D9C" w:rsidRDefault="0065380E" w:rsidP="00875F7E">
            <w:pPr>
              <w:rPr>
                <w:b/>
              </w:rPr>
            </w:pPr>
            <w:r w:rsidRPr="00EA2D9C">
              <w:rPr>
                <w:b/>
                <w:lang w:eastAsia="fr-FR"/>
              </w:rPr>
              <w:t xml:space="preserve">European Semester </w:t>
            </w:r>
            <w:r w:rsidR="00963B5B" w:rsidRPr="00EA2D9C">
              <w:rPr>
                <w:b/>
                <w:lang w:eastAsia="fr-FR"/>
              </w:rPr>
              <w:t>201</w:t>
            </w:r>
            <w:r w:rsidR="00C462BF" w:rsidRPr="00EA2D9C">
              <w:rPr>
                <w:b/>
                <w:lang w:eastAsia="fr-FR"/>
              </w:rPr>
              <w:t>8</w:t>
            </w:r>
            <w:r w:rsidRPr="00EA2D9C">
              <w:rPr>
                <w:b/>
                <w:lang w:eastAsia="fr-FR"/>
              </w:rPr>
              <w:t>/</w:t>
            </w:r>
            <w:r w:rsidR="00963B5B" w:rsidRPr="00EA2D9C">
              <w:rPr>
                <w:b/>
                <w:lang w:eastAsia="fr-FR"/>
              </w:rPr>
              <w:t>201</w:t>
            </w:r>
            <w:r w:rsidR="00C462BF" w:rsidRPr="00EA2D9C">
              <w:rPr>
                <w:b/>
                <w:lang w:eastAsia="fr-FR"/>
              </w:rPr>
              <w:t>9</w:t>
            </w:r>
            <w:r w:rsidRPr="00EA2D9C">
              <w:rPr>
                <w:b/>
                <w:lang w:eastAsia="fr-FR"/>
              </w:rPr>
              <w:t xml:space="preserve"> country fiche on disability</w:t>
            </w:r>
          </w:p>
        </w:tc>
      </w:tr>
      <w:tr w:rsidR="00ED6A68" w14:paraId="774E29C3" w14:textId="77777777" w:rsidTr="00ED6A68">
        <w:trPr>
          <w:trHeight w:val="557"/>
        </w:trPr>
        <w:tc>
          <w:tcPr>
            <w:tcW w:w="3341" w:type="pct"/>
          </w:tcPr>
          <w:p w14:paraId="108591F0" w14:textId="0591FA6B" w:rsidR="00ED6A68" w:rsidRPr="00EA2D9C" w:rsidRDefault="00EA2D9C" w:rsidP="00875F7E">
            <w:pPr>
              <w:rPr>
                <w:b/>
              </w:rPr>
            </w:pPr>
            <w:r w:rsidRPr="00EA2D9C">
              <w:rPr>
                <w:b/>
              </w:rPr>
              <w:t>Czech Republic</w:t>
            </w:r>
          </w:p>
        </w:tc>
        <w:tc>
          <w:tcPr>
            <w:tcW w:w="1659" w:type="pct"/>
            <w:vMerge w:val="restart"/>
            <w:vAlign w:val="center"/>
          </w:tcPr>
          <w:p w14:paraId="6F3C4C75" w14:textId="6D50C352" w:rsidR="00ED6A68" w:rsidRDefault="00EA2D9C" w:rsidP="00B25DFD">
            <w:r w:rsidRPr="00045061">
              <w:rPr>
                <w:noProof/>
                <w:lang w:eastAsia="en-GB"/>
              </w:rPr>
              <w:drawing>
                <wp:inline distT="0" distB="0" distL="0" distR="0" wp14:anchorId="4E62166D" wp14:editId="24033455">
                  <wp:extent cx="1764665" cy="1716405"/>
                  <wp:effectExtent l="0" t="0" r="0" b="0"/>
                  <wp:docPr id="22" name="Picture 4" descr="N:\Education&amp;Social-Sciences&amp;Law\Projects\Research_Data\0488_9406993_Mark-Priestley_ANED\ANED\2015\EU2020\2015 templates to complete\country_symbols_images\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ducation&amp;Social-Sciences&amp;Law\Projects\Research_Data\0488_9406993_Mark-Priestley_ANED\ANED\2015\EU2020\2015 templates to complete\country_symbols_images\C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1716405"/>
                          </a:xfrm>
                          <a:prstGeom prst="rect">
                            <a:avLst/>
                          </a:prstGeom>
                          <a:noFill/>
                          <a:ln>
                            <a:noFill/>
                          </a:ln>
                        </pic:spPr>
                      </pic:pic>
                    </a:graphicData>
                  </a:graphic>
                </wp:inline>
              </w:drawing>
            </w:r>
          </w:p>
        </w:tc>
      </w:tr>
      <w:tr w:rsidR="00ED6A68" w14:paraId="3FE31403" w14:textId="77777777" w:rsidTr="00ED6A68">
        <w:trPr>
          <w:trHeight w:val="1274"/>
        </w:trPr>
        <w:tc>
          <w:tcPr>
            <w:tcW w:w="3341" w:type="pct"/>
          </w:tcPr>
          <w:p w14:paraId="0CA50CD0" w14:textId="77777777" w:rsidR="00ED6A68" w:rsidRDefault="00ED6A68" w:rsidP="00875F7E">
            <w:r>
              <w:t xml:space="preserve">Report prepared by: </w:t>
            </w:r>
          </w:p>
          <w:p w14:paraId="32E93B7D" w14:textId="7D9BADB2" w:rsidR="00ED6A68" w:rsidRDefault="00AD7544" w:rsidP="00875F7E">
            <w:r>
              <w:t xml:space="preserve">Jan Šiška, </w:t>
            </w:r>
            <w:proofErr w:type="spellStart"/>
            <w:r>
              <w:t>Šárka</w:t>
            </w:r>
            <w:proofErr w:type="spellEnd"/>
            <w:r>
              <w:t xml:space="preserve"> Káňová</w:t>
            </w:r>
          </w:p>
          <w:p w14:paraId="389BFF88" w14:textId="77777777" w:rsidR="00ED6A68" w:rsidRPr="00346FC5" w:rsidRDefault="00ED6A68" w:rsidP="00875F7E">
            <w:pPr>
              <w:rPr>
                <w:b/>
              </w:rPr>
            </w:pPr>
          </w:p>
        </w:tc>
        <w:tc>
          <w:tcPr>
            <w:tcW w:w="1659" w:type="pct"/>
            <w:vMerge/>
          </w:tcPr>
          <w:p w14:paraId="53A6C512" w14:textId="77777777" w:rsidR="00ED6A68" w:rsidRDefault="00ED6A68" w:rsidP="00B25DFD">
            <w:pPr>
              <w:rPr>
                <w:rFonts w:ascii="Tahoma" w:hAnsi="Tahoma" w:cs="Tahoma"/>
                <w:noProof/>
                <w:color w:val="000000"/>
                <w:sz w:val="18"/>
                <w:szCs w:val="18"/>
                <w:lang w:eastAsia="en-GB"/>
              </w:rPr>
            </w:pPr>
          </w:p>
        </w:tc>
      </w:tr>
      <w:tr w:rsidR="00ED6A68" w14:paraId="2B406D27" w14:textId="77777777" w:rsidTr="00ED6A68">
        <w:trPr>
          <w:trHeight w:val="940"/>
        </w:trPr>
        <w:tc>
          <w:tcPr>
            <w:tcW w:w="3341" w:type="pct"/>
          </w:tcPr>
          <w:p w14:paraId="05839414" w14:textId="77777777" w:rsidR="00ED6A68" w:rsidRDefault="00ED6A68" w:rsidP="00875F7E">
            <w:r>
              <w:t>With comparative data provided by the ANED core team</w:t>
            </w:r>
          </w:p>
        </w:tc>
        <w:tc>
          <w:tcPr>
            <w:tcW w:w="1659" w:type="pct"/>
            <w:vMerge/>
          </w:tcPr>
          <w:p w14:paraId="23D486B4" w14:textId="77777777" w:rsidR="00ED6A68" w:rsidRDefault="00ED6A68" w:rsidP="00B25DFD">
            <w:pPr>
              <w:rPr>
                <w:rFonts w:ascii="Tahoma" w:hAnsi="Tahoma" w:cs="Tahoma"/>
                <w:noProof/>
                <w:color w:val="000000"/>
                <w:sz w:val="18"/>
                <w:szCs w:val="18"/>
                <w:lang w:eastAsia="en-GB"/>
              </w:rPr>
            </w:pPr>
          </w:p>
        </w:tc>
      </w:tr>
    </w:tbl>
    <w:p w14:paraId="12C451DF" w14:textId="77777777" w:rsidR="00ED6A68" w:rsidRDefault="00ED6A68" w:rsidP="00875F7E"/>
    <w:p w14:paraId="74653772" w14:textId="3180AA70" w:rsidR="00AF323E" w:rsidRPr="00891791" w:rsidRDefault="00AF323E" w:rsidP="00EA2D9C">
      <w:pPr>
        <w:pStyle w:val="BodyText"/>
        <w:spacing w:after="0"/>
        <w:jc w:val="both"/>
        <w:rPr>
          <w:lang w:eastAsia="en-GB"/>
        </w:rPr>
      </w:pPr>
      <w:r w:rsidRPr="00891791">
        <w:t xml:space="preserve">The </w:t>
      </w:r>
      <w:hyperlink r:id="rId9" w:history="1">
        <w:r w:rsidRPr="00891791">
          <w:rPr>
            <w:rStyle w:val="Hyperlink"/>
          </w:rPr>
          <w:t>Academic Network of European Disability experts</w:t>
        </w:r>
      </w:hyperlink>
      <w:r w:rsidRPr="00891791">
        <w:t xml:space="preserve"> (ANED) was established by the European Commission in 2008 to provide scientific support and advice for its disability policy Unit. In particular, the activities of the Network support the development of the </w:t>
      </w:r>
      <w:r w:rsidR="00534975">
        <w:t>European Disability Strategy</w:t>
      </w:r>
      <w:r w:rsidRPr="00891791">
        <w:t xml:space="preserve"> </w:t>
      </w:r>
      <w:r w:rsidR="00534975">
        <w:t xml:space="preserve">2010-2020 </w:t>
      </w:r>
      <w:r w:rsidRPr="00891791">
        <w:t xml:space="preserve">and implementation of the United Nations Convention on </w:t>
      </w:r>
      <w:r w:rsidR="00895667">
        <w:t xml:space="preserve">the Rights of Persons with Disabilities </w:t>
      </w:r>
      <w:r w:rsidR="00534975">
        <w:t>in the EU</w:t>
      </w:r>
      <w:r w:rsidRPr="00891791">
        <w:t>.</w:t>
      </w:r>
    </w:p>
    <w:p w14:paraId="22191334" w14:textId="77777777" w:rsidR="00895667" w:rsidRDefault="00895667" w:rsidP="00EA2D9C">
      <w:pPr>
        <w:pStyle w:val="BodyText"/>
        <w:spacing w:after="0"/>
        <w:jc w:val="both"/>
      </w:pPr>
    </w:p>
    <w:p w14:paraId="11299BD3" w14:textId="05A4E605" w:rsidR="00AF323E" w:rsidRPr="00891791" w:rsidRDefault="00AF323E" w:rsidP="00EA2D9C">
      <w:pPr>
        <w:pStyle w:val="BodyText"/>
        <w:spacing w:after="0"/>
        <w:jc w:val="both"/>
      </w:pPr>
      <w:r w:rsidRPr="00891791">
        <w:t xml:space="preserve">This country report </w:t>
      </w:r>
      <w:r w:rsidR="003E601D">
        <w:t xml:space="preserve">and statistical annex have </w:t>
      </w:r>
      <w:r w:rsidRPr="00891791">
        <w:t xml:space="preserve">been prepared as input for the </w:t>
      </w:r>
      <w:r w:rsidR="00534975">
        <w:t>E</w:t>
      </w:r>
      <w:r w:rsidR="00526839">
        <w:t>uropean Semester</w:t>
      </w:r>
      <w:r w:rsidR="00C75AFD">
        <w:t xml:space="preserve"> from a disability perspective</w:t>
      </w:r>
      <w:r w:rsidRPr="00891791">
        <w:t xml:space="preserve">. </w:t>
      </w:r>
    </w:p>
    <w:p w14:paraId="50145C82" w14:textId="77777777" w:rsidR="00A50844" w:rsidRDefault="00A50844" w:rsidP="00875F7E"/>
    <w:p w14:paraId="420351C5" w14:textId="77777777" w:rsidR="0065380E" w:rsidRDefault="0065380E" w:rsidP="00875F7E"/>
    <w:p w14:paraId="7BCE6EC2" w14:textId="76E1A064" w:rsidR="003E7EC1" w:rsidRDefault="00895667" w:rsidP="00EA2D9C">
      <w:pPr>
        <w:ind w:firstLine="720"/>
        <w:jc w:val="right"/>
      </w:pPr>
      <w:r w:rsidRPr="000D23C1">
        <w:rPr>
          <w:noProof/>
          <w:lang w:eastAsia="zh-CN"/>
        </w:rPr>
        <w:drawing>
          <wp:anchor distT="0" distB="0" distL="114300" distR="114300" simplePos="0" relativeHeight="251659264" behindDoc="0" locked="0" layoutInCell="1" allowOverlap="1" wp14:anchorId="48D31CC2" wp14:editId="7486D016">
            <wp:simplePos x="0" y="0"/>
            <wp:positionH relativeFrom="column">
              <wp:posOffset>-161925</wp:posOffset>
            </wp:positionH>
            <wp:positionV relativeFrom="paragraph">
              <wp:posOffset>304165</wp:posOffset>
            </wp:positionV>
            <wp:extent cx="910590" cy="5143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7.jpg"/>
                    <pic:cNvPicPr/>
                  </pic:nvPicPr>
                  <pic:blipFill>
                    <a:blip r:embed="rId10"/>
                    <a:stretch>
                      <a:fillRect/>
                    </a:stretch>
                  </pic:blipFill>
                  <pic:spPr>
                    <a:xfrm>
                      <a:off x="0" y="0"/>
                      <a:ext cx="910590" cy="514350"/>
                    </a:xfrm>
                    <a:prstGeom prst="rect">
                      <a:avLst/>
                    </a:prstGeom>
                  </pic:spPr>
                </pic:pic>
              </a:graphicData>
            </a:graphic>
          </wp:anchor>
        </w:drawing>
      </w:r>
      <w:r w:rsidR="0065380E">
        <w:t xml:space="preserve"> </w:t>
      </w:r>
      <w:r w:rsidR="0065380E">
        <w:tab/>
      </w:r>
      <w:r w:rsidR="0065380E">
        <w:tab/>
      </w:r>
      <w:r w:rsidR="0065380E">
        <w:tab/>
      </w:r>
      <w:r w:rsidR="0065380E">
        <w:tab/>
      </w:r>
      <w:r w:rsidR="0065380E">
        <w:tab/>
      </w:r>
      <w:r w:rsidR="0065380E">
        <w:tab/>
      </w:r>
      <w:r w:rsidR="0065380E">
        <w:tab/>
        <w:t xml:space="preserve"> </w:t>
      </w:r>
      <w:r w:rsidR="0065380E">
        <w:rPr>
          <w:noProof/>
          <w:lang w:eastAsia="zh-CN"/>
        </w:rPr>
        <w:drawing>
          <wp:inline distT="0" distB="0" distL="0" distR="0" wp14:anchorId="5CD1C155" wp14:editId="7C0D7E31">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1601DD16" w14:textId="77777777" w:rsidR="00EA2D9C" w:rsidRDefault="00EA2D9C" w:rsidP="00875F7E">
      <w:pPr>
        <w:spacing w:after="200" w:line="276" w:lineRule="auto"/>
      </w:pPr>
    </w:p>
    <w:p w14:paraId="5BB28664" w14:textId="77777777" w:rsidR="00EA2D9C" w:rsidRDefault="00EA2D9C" w:rsidP="00875F7E">
      <w:pPr>
        <w:spacing w:after="200" w:line="276" w:lineRule="auto"/>
      </w:pPr>
    </w:p>
    <w:p w14:paraId="78030045" w14:textId="608B5115" w:rsidR="003E7EC1" w:rsidRDefault="003E7EC1" w:rsidP="00875F7E">
      <w:pPr>
        <w:spacing w:after="200" w:line="276" w:lineRule="auto"/>
      </w:pPr>
      <w:r>
        <w:br w:type="page"/>
      </w:r>
    </w:p>
    <w:p w14:paraId="6575AA43" w14:textId="285E66D4" w:rsidR="003E7EC1" w:rsidRPr="00895667" w:rsidRDefault="00895667" w:rsidP="00875F7E">
      <w:pPr>
        <w:rPr>
          <w:b/>
        </w:rPr>
      </w:pPr>
      <w:r w:rsidRPr="00895667">
        <w:rPr>
          <w:b/>
        </w:rPr>
        <w:lastRenderedPageBreak/>
        <w:t>Contents</w:t>
      </w:r>
    </w:p>
    <w:sdt>
      <w:sdtPr>
        <w:id w:val="284630848"/>
        <w:docPartObj>
          <w:docPartGallery w:val="Table of Contents"/>
          <w:docPartUnique/>
        </w:docPartObj>
      </w:sdtPr>
      <w:sdtEndPr>
        <w:rPr>
          <w:b/>
          <w:bCs/>
          <w:noProof/>
        </w:rPr>
      </w:sdtEndPr>
      <w:sdtContent>
        <w:p w14:paraId="7BD3F9A0" w14:textId="2867D584" w:rsidR="00A14F67" w:rsidRPr="006B403C" w:rsidRDefault="00A14F67" w:rsidP="00875F7E"/>
        <w:p w14:paraId="1E6F7D66" w14:textId="0626BB9D" w:rsidR="00FD5457" w:rsidRDefault="00A14F67">
          <w:pPr>
            <w:pStyle w:val="TOC1"/>
            <w:tabs>
              <w:tab w:val="left" w:pos="480"/>
              <w:tab w:val="right" w:leader="dot" w:pos="9016"/>
            </w:tabs>
            <w:rPr>
              <w:rFonts w:asciiTheme="minorHAnsi" w:eastAsiaTheme="minorEastAsia" w:hAnsiTheme="minorHAnsi" w:cstheme="minorBidi"/>
              <w:noProof/>
              <w:sz w:val="22"/>
              <w:szCs w:val="22"/>
              <w:lang w:val="en-NL" w:eastAsia="en-NL"/>
            </w:rPr>
          </w:pPr>
          <w:r>
            <w:fldChar w:fldCharType="begin"/>
          </w:r>
          <w:r>
            <w:instrText xml:space="preserve"> TOC \o "1-3" \h \z \u </w:instrText>
          </w:r>
          <w:r>
            <w:fldChar w:fldCharType="separate"/>
          </w:r>
          <w:hyperlink w:anchor="_Toc528662142" w:history="1">
            <w:r w:rsidR="00FD5457" w:rsidRPr="00530A11">
              <w:rPr>
                <w:rStyle w:val="Hyperlink"/>
                <w:noProof/>
              </w:rPr>
              <w:t>1</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Summary and recommendations</w:t>
            </w:r>
            <w:r w:rsidR="00FD5457">
              <w:rPr>
                <w:noProof/>
                <w:webHidden/>
              </w:rPr>
              <w:tab/>
            </w:r>
            <w:r w:rsidR="00FD5457">
              <w:rPr>
                <w:noProof/>
                <w:webHidden/>
              </w:rPr>
              <w:fldChar w:fldCharType="begin"/>
            </w:r>
            <w:r w:rsidR="00FD5457">
              <w:rPr>
                <w:noProof/>
                <w:webHidden/>
              </w:rPr>
              <w:instrText xml:space="preserve"> PAGEREF _Toc528662142 \h </w:instrText>
            </w:r>
            <w:r w:rsidR="00FD5457">
              <w:rPr>
                <w:noProof/>
                <w:webHidden/>
              </w:rPr>
            </w:r>
            <w:r w:rsidR="00FD5457">
              <w:rPr>
                <w:noProof/>
                <w:webHidden/>
              </w:rPr>
              <w:fldChar w:fldCharType="separate"/>
            </w:r>
            <w:r w:rsidR="00952BA4">
              <w:rPr>
                <w:noProof/>
                <w:webHidden/>
              </w:rPr>
              <w:t>2</w:t>
            </w:r>
            <w:r w:rsidR="00FD5457">
              <w:rPr>
                <w:noProof/>
                <w:webHidden/>
              </w:rPr>
              <w:fldChar w:fldCharType="end"/>
            </w:r>
          </w:hyperlink>
        </w:p>
        <w:p w14:paraId="362A7797" w14:textId="4BE9DAE8" w:rsidR="00FD5457" w:rsidRDefault="00020DE8">
          <w:pPr>
            <w:pStyle w:val="TOC2"/>
            <w:tabs>
              <w:tab w:val="left" w:pos="880"/>
              <w:tab w:val="right" w:leader="dot" w:pos="9016"/>
            </w:tabs>
            <w:rPr>
              <w:rFonts w:asciiTheme="minorHAnsi" w:eastAsiaTheme="minorEastAsia" w:hAnsiTheme="minorHAnsi" w:cstheme="minorBidi"/>
              <w:noProof/>
              <w:sz w:val="22"/>
              <w:szCs w:val="22"/>
              <w:lang w:val="en-NL" w:eastAsia="en-NL"/>
            </w:rPr>
          </w:pPr>
          <w:hyperlink w:anchor="_Toc528662143" w:history="1">
            <w:r w:rsidR="00FD5457" w:rsidRPr="00530A11">
              <w:rPr>
                <w:rStyle w:val="Hyperlink"/>
                <w:noProof/>
              </w:rPr>
              <w:t>1.1</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Key features of the disability situation and challenges in 2018-19</w:t>
            </w:r>
            <w:r w:rsidR="00FD5457">
              <w:rPr>
                <w:noProof/>
                <w:webHidden/>
              </w:rPr>
              <w:tab/>
            </w:r>
            <w:r w:rsidR="00FD5457">
              <w:rPr>
                <w:noProof/>
                <w:webHidden/>
              </w:rPr>
              <w:fldChar w:fldCharType="begin"/>
            </w:r>
            <w:r w:rsidR="00FD5457">
              <w:rPr>
                <w:noProof/>
                <w:webHidden/>
              </w:rPr>
              <w:instrText xml:space="preserve"> PAGEREF _Toc528662143 \h </w:instrText>
            </w:r>
            <w:r w:rsidR="00FD5457">
              <w:rPr>
                <w:noProof/>
                <w:webHidden/>
              </w:rPr>
            </w:r>
            <w:r w:rsidR="00FD5457">
              <w:rPr>
                <w:noProof/>
                <w:webHidden/>
              </w:rPr>
              <w:fldChar w:fldCharType="separate"/>
            </w:r>
            <w:r w:rsidR="00952BA4">
              <w:rPr>
                <w:noProof/>
                <w:webHidden/>
              </w:rPr>
              <w:t>2</w:t>
            </w:r>
            <w:r w:rsidR="00FD5457">
              <w:rPr>
                <w:noProof/>
                <w:webHidden/>
              </w:rPr>
              <w:fldChar w:fldCharType="end"/>
            </w:r>
          </w:hyperlink>
        </w:p>
        <w:p w14:paraId="163AA4EA" w14:textId="7118812F" w:rsidR="00FD5457" w:rsidRDefault="00020DE8">
          <w:pPr>
            <w:pStyle w:val="TOC2"/>
            <w:tabs>
              <w:tab w:val="left" w:pos="880"/>
              <w:tab w:val="right" w:leader="dot" w:pos="9016"/>
            </w:tabs>
            <w:rPr>
              <w:rFonts w:asciiTheme="minorHAnsi" w:eastAsiaTheme="minorEastAsia" w:hAnsiTheme="minorHAnsi" w:cstheme="minorBidi"/>
              <w:noProof/>
              <w:sz w:val="22"/>
              <w:szCs w:val="22"/>
              <w:lang w:val="en-NL" w:eastAsia="en-NL"/>
            </w:rPr>
          </w:pPr>
          <w:hyperlink w:anchor="_Toc528662144" w:history="1">
            <w:r w:rsidR="00FD5457" w:rsidRPr="00530A11">
              <w:rPr>
                <w:rStyle w:val="Hyperlink"/>
                <w:noProof/>
              </w:rPr>
              <w:t>1.2</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Recommendations</w:t>
            </w:r>
            <w:r w:rsidR="00FD5457">
              <w:rPr>
                <w:noProof/>
                <w:webHidden/>
              </w:rPr>
              <w:tab/>
            </w:r>
            <w:r w:rsidR="00FD5457">
              <w:rPr>
                <w:noProof/>
                <w:webHidden/>
              </w:rPr>
              <w:fldChar w:fldCharType="begin"/>
            </w:r>
            <w:r w:rsidR="00FD5457">
              <w:rPr>
                <w:noProof/>
                <w:webHidden/>
              </w:rPr>
              <w:instrText xml:space="preserve"> PAGEREF _Toc528662144 \h </w:instrText>
            </w:r>
            <w:r w:rsidR="00FD5457">
              <w:rPr>
                <w:noProof/>
                <w:webHidden/>
              </w:rPr>
            </w:r>
            <w:r w:rsidR="00FD5457">
              <w:rPr>
                <w:noProof/>
                <w:webHidden/>
              </w:rPr>
              <w:fldChar w:fldCharType="separate"/>
            </w:r>
            <w:r w:rsidR="00952BA4">
              <w:rPr>
                <w:noProof/>
                <w:webHidden/>
              </w:rPr>
              <w:t>3</w:t>
            </w:r>
            <w:r w:rsidR="00FD5457">
              <w:rPr>
                <w:noProof/>
                <w:webHidden/>
              </w:rPr>
              <w:fldChar w:fldCharType="end"/>
            </w:r>
          </w:hyperlink>
        </w:p>
        <w:p w14:paraId="62D55C4E" w14:textId="0C4DEB33" w:rsidR="00FD5457" w:rsidRDefault="00020DE8">
          <w:pPr>
            <w:pStyle w:val="TOC2"/>
            <w:tabs>
              <w:tab w:val="left" w:pos="880"/>
              <w:tab w:val="right" w:leader="dot" w:pos="9016"/>
            </w:tabs>
            <w:rPr>
              <w:rFonts w:asciiTheme="minorHAnsi" w:eastAsiaTheme="minorEastAsia" w:hAnsiTheme="minorHAnsi" w:cstheme="minorBidi"/>
              <w:noProof/>
              <w:sz w:val="22"/>
              <w:szCs w:val="22"/>
              <w:lang w:val="en-NL" w:eastAsia="en-NL"/>
            </w:rPr>
          </w:pPr>
          <w:hyperlink w:anchor="_Toc528662145" w:history="1">
            <w:r w:rsidR="00FD5457" w:rsidRPr="00530A11">
              <w:rPr>
                <w:rStyle w:val="Hyperlink"/>
                <w:noProof/>
              </w:rPr>
              <w:t>1.3</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The EU2020 targets in relation to disability strategy and rights</w:t>
            </w:r>
            <w:r w:rsidR="00FD5457">
              <w:rPr>
                <w:noProof/>
                <w:webHidden/>
              </w:rPr>
              <w:tab/>
            </w:r>
            <w:r w:rsidR="00FD5457">
              <w:rPr>
                <w:noProof/>
                <w:webHidden/>
              </w:rPr>
              <w:fldChar w:fldCharType="begin"/>
            </w:r>
            <w:r w:rsidR="00FD5457">
              <w:rPr>
                <w:noProof/>
                <w:webHidden/>
              </w:rPr>
              <w:instrText xml:space="preserve"> PAGEREF _Toc528662145 \h </w:instrText>
            </w:r>
            <w:r w:rsidR="00FD5457">
              <w:rPr>
                <w:noProof/>
                <w:webHidden/>
              </w:rPr>
            </w:r>
            <w:r w:rsidR="00FD5457">
              <w:rPr>
                <w:noProof/>
                <w:webHidden/>
              </w:rPr>
              <w:fldChar w:fldCharType="separate"/>
            </w:r>
            <w:r w:rsidR="00952BA4">
              <w:rPr>
                <w:noProof/>
                <w:webHidden/>
              </w:rPr>
              <w:t>4</w:t>
            </w:r>
            <w:r w:rsidR="00FD5457">
              <w:rPr>
                <w:noProof/>
                <w:webHidden/>
              </w:rPr>
              <w:fldChar w:fldCharType="end"/>
            </w:r>
          </w:hyperlink>
        </w:p>
        <w:p w14:paraId="2E42F820" w14:textId="790E2B79" w:rsidR="00FD5457" w:rsidRDefault="00020DE8">
          <w:pPr>
            <w:pStyle w:val="TOC3"/>
            <w:tabs>
              <w:tab w:val="left" w:pos="1320"/>
              <w:tab w:val="right" w:leader="dot" w:pos="9016"/>
            </w:tabs>
            <w:rPr>
              <w:rFonts w:asciiTheme="minorHAnsi" w:eastAsiaTheme="minorEastAsia" w:hAnsiTheme="minorHAnsi" w:cstheme="minorBidi"/>
              <w:noProof/>
              <w:sz w:val="22"/>
              <w:szCs w:val="22"/>
              <w:lang w:val="en-NL" w:eastAsia="en-NL"/>
            </w:rPr>
          </w:pPr>
          <w:hyperlink w:anchor="_Toc528662146" w:history="1">
            <w:r w:rsidR="00FD5457" w:rsidRPr="00530A11">
              <w:rPr>
                <w:rStyle w:val="Hyperlink"/>
                <w:noProof/>
              </w:rPr>
              <w:t>1.3.1</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Recommendations from the UN CRPD Committee relevant to EU2020</w:t>
            </w:r>
            <w:r w:rsidR="00FD5457">
              <w:rPr>
                <w:noProof/>
                <w:webHidden/>
              </w:rPr>
              <w:tab/>
            </w:r>
            <w:r w:rsidR="00FD5457">
              <w:rPr>
                <w:noProof/>
                <w:webHidden/>
              </w:rPr>
              <w:fldChar w:fldCharType="begin"/>
            </w:r>
            <w:r w:rsidR="00FD5457">
              <w:rPr>
                <w:noProof/>
                <w:webHidden/>
              </w:rPr>
              <w:instrText xml:space="preserve"> PAGEREF _Toc528662146 \h </w:instrText>
            </w:r>
            <w:r w:rsidR="00FD5457">
              <w:rPr>
                <w:noProof/>
                <w:webHidden/>
              </w:rPr>
            </w:r>
            <w:r w:rsidR="00FD5457">
              <w:rPr>
                <w:noProof/>
                <w:webHidden/>
              </w:rPr>
              <w:fldChar w:fldCharType="separate"/>
            </w:r>
            <w:r w:rsidR="00952BA4">
              <w:rPr>
                <w:noProof/>
                <w:webHidden/>
              </w:rPr>
              <w:t>4</w:t>
            </w:r>
            <w:r w:rsidR="00FD5457">
              <w:rPr>
                <w:noProof/>
                <w:webHidden/>
              </w:rPr>
              <w:fldChar w:fldCharType="end"/>
            </w:r>
          </w:hyperlink>
        </w:p>
        <w:p w14:paraId="5A35AAA8" w14:textId="2CF9604C" w:rsidR="00FD5457" w:rsidRDefault="00020DE8">
          <w:pPr>
            <w:pStyle w:val="TOC3"/>
            <w:tabs>
              <w:tab w:val="left" w:pos="1320"/>
              <w:tab w:val="right" w:leader="dot" w:pos="9016"/>
            </w:tabs>
            <w:rPr>
              <w:rFonts w:asciiTheme="minorHAnsi" w:eastAsiaTheme="minorEastAsia" w:hAnsiTheme="minorHAnsi" w:cstheme="minorBidi"/>
              <w:noProof/>
              <w:sz w:val="22"/>
              <w:szCs w:val="22"/>
              <w:lang w:val="en-NL" w:eastAsia="en-NL"/>
            </w:rPr>
          </w:pPr>
          <w:hyperlink w:anchor="_Toc528662147" w:history="1">
            <w:r w:rsidR="00FD5457" w:rsidRPr="00530A11">
              <w:rPr>
                <w:rStyle w:val="Hyperlink"/>
                <w:noProof/>
              </w:rPr>
              <w:t>1.3.2</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National disability strategies, plans and targets relevant to EU2020</w:t>
            </w:r>
            <w:r w:rsidR="00FD5457">
              <w:rPr>
                <w:noProof/>
                <w:webHidden/>
              </w:rPr>
              <w:tab/>
            </w:r>
            <w:r w:rsidR="00FD5457">
              <w:rPr>
                <w:noProof/>
                <w:webHidden/>
              </w:rPr>
              <w:fldChar w:fldCharType="begin"/>
            </w:r>
            <w:r w:rsidR="00FD5457">
              <w:rPr>
                <w:noProof/>
                <w:webHidden/>
              </w:rPr>
              <w:instrText xml:space="preserve"> PAGEREF _Toc528662147 \h </w:instrText>
            </w:r>
            <w:r w:rsidR="00FD5457">
              <w:rPr>
                <w:noProof/>
                <w:webHidden/>
              </w:rPr>
            </w:r>
            <w:r w:rsidR="00FD5457">
              <w:rPr>
                <w:noProof/>
                <w:webHidden/>
              </w:rPr>
              <w:fldChar w:fldCharType="separate"/>
            </w:r>
            <w:r w:rsidR="00952BA4">
              <w:rPr>
                <w:noProof/>
                <w:webHidden/>
              </w:rPr>
              <w:t>6</w:t>
            </w:r>
            <w:r w:rsidR="00FD5457">
              <w:rPr>
                <w:noProof/>
                <w:webHidden/>
              </w:rPr>
              <w:fldChar w:fldCharType="end"/>
            </w:r>
          </w:hyperlink>
        </w:p>
        <w:p w14:paraId="57E0D05D" w14:textId="39BD7CA0" w:rsidR="00FD5457" w:rsidRDefault="00020DE8">
          <w:pPr>
            <w:pStyle w:val="TOC1"/>
            <w:tabs>
              <w:tab w:val="left" w:pos="480"/>
              <w:tab w:val="right" w:leader="dot" w:pos="9016"/>
            </w:tabs>
            <w:rPr>
              <w:rFonts w:asciiTheme="minorHAnsi" w:eastAsiaTheme="minorEastAsia" w:hAnsiTheme="minorHAnsi" w:cstheme="minorBidi"/>
              <w:noProof/>
              <w:sz w:val="22"/>
              <w:szCs w:val="22"/>
              <w:lang w:val="en-NL" w:eastAsia="en-NL"/>
            </w:rPr>
          </w:pPr>
          <w:hyperlink w:anchor="_Toc528662148" w:history="1">
            <w:r w:rsidR="00FD5457" w:rsidRPr="00530A11">
              <w:rPr>
                <w:rStyle w:val="Hyperlink"/>
                <w:noProof/>
              </w:rPr>
              <w:t>2</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 xml:space="preserve">Disability and employment - analysis of the situation and the effectiveness of </w:t>
            </w:r>
            <w:r w:rsidR="00952BA4">
              <w:rPr>
                <w:rStyle w:val="Hyperlink"/>
                <w:noProof/>
              </w:rPr>
              <w:tab/>
            </w:r>
            <w:r w:rsidR="00FD5457" w:rsidRPr="00530A11">
              <w:rPr>
                <w:rStyle w:val="Hyperlink"/>
                <w:noProof/>
              </w:rPr>
              <w:t>policies</w:t>
            </w:r>
            <w:r w:rsidR="00FD5457">
              <w:rPr>
                <w:noProof/>
                <w:webHidden/>
              </w:rPr>
              <w:tab/>
            </w:r>
            <w:r w:rsidR="00FD5457">
              <w:rPr>
                <w:noProof/>
                <w:webHidden/>
              </w:rPr>
              <w:fldChar w:fldCharType="begin"/>
            </w:r>
            <w:r w:rsidR="00FD5457">
              <w:rPr>
                <w:noProof/>
                <w:webHidden/>
              </w:rPr>
              <w:instrText xml:space="preserve"> PAGEREF _Toc528662148 \h </w:instrText>
            </w:r>
            <w:r w:rsidR="00FD5457">
              <w:rPr>
                <w:noProof/>
                <w:webHidden/>
              </w:rPr>
            </w:r>
            <w:r w:rsidR="00FD5457">
              <w:rPr>
                <w:noProof/>
                <w:webHidden/>
              </w:rPr>
              <w:fldChar w:fldCharType="separate"/>
            </w:r>
            <w:r w:rsidR="00952BA4">
              <w:rPr>
                <w:noProof/>
                <w:webHidden/>
              </w:rPr>
              <w:t>8</w:t>
            </w:r>
            <w:r w:rsidR="00FD5457">
              <w:rPr>
                <w:noProof/>
                <w:webHidden/>
              </w:rPr>
              <w:fldChar w:fldCharType="end"/>
            </w:r>
          </w:hyperlink>
        </w:p>
        <w:p w14:paraId="66A657C0" w14:textId="3562D853" w:rsidR="00FD5457" w:rsidRDefault="00020DE8">
          <w:pPr>
            <w:pStyle w:val="TOC1"/>
            <w:tabs>
              <w:tab w:val="left" w:pos="480"/>
              <w:tab w:val="right" w:leader="dot" w:pos="9016"/>
            </w:tabs>
            <w:rPr>
              <w:rFonts w:asciiTheme="minorHAnsi" w:eastAsiaTheme="minorEastAsia" w:hAnsiTheme="minorHAnsi" w:cstheme="minorBidi"/>
              <w:noProof/>
              <w:sz w:val="22"/>
              <w:szCs w:val="22"/>
              <w:lang w:val="en-NL" w:eastAsia="en-NL"/>
            </w:rPr>
          </w:pPr>
          <w:hyperlink w:anchor="_Toc528662149" w:history="1">
            <w:r w:rsidR="00FD5457" w:rsidRPr="00530A11">
              <w:rPr>
                <w:rStyle w:val="Hyperlink"/>
                <w:noProof/>
              </w:rPr>
              <w:t>3</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 xml:space="preserve">Disability, education and skills – analysis of the situation and the effectiveness </w:t>
            </w:r>
            <w:r w:rsidR="00952BA4">
              <w:rPr>
                <w:rStyle w:val="Hyperlink"/>
                <w:noProof/>
              </w:rPr>
              <w:tab/>
            </w:r>
            <w:r w:rsidR="00FD5457" w:rsidRPr="00530A11">
              <w:rPr>
                <w:rStyle w:val="Hyperlink"/>
                <w:noProof/>
              </w:rPr>
              <w:t>of policies</w:t>
            </w:r>
            <w:r w:rsidR="00FD5457">
              <w:rPr>
                <w:noProof/>
                <w:webHidden/>
              </w:rPr>
              <w:tab/>
            </w:r>
            <w:r w:rsidR="00FD5457">
              <w:rPr>
                <w:noProof/>
                <w:webHidden/>
              </w:rPr>
              <w:fldChar w:fldCharType="begin"/>
            </w:r>
            <w:r w:rsidR="00FD5457">
              <w:rPr>
                <w:noProof/>
                <w:webHidden/>
              </w:rPr>
              <w:instrText xml:space="preserve"> PAGEREF _Toc528662149 \h </w:instrText>
            </w:r>
            <w:r w:rsidR="00FD5457">
              <w:rPr>
                <w:noProof/>
                <w:webHidden/>
              </w:rPr>
            </w:r>
            <w:r w:rsidR="00FD5457">
              <w:rPr>
                <w:noProof/>
                <w:webHidden/>
              </w:rPr>
              <w:fldChar w:fldCharType="separate"/>
            </w:r>
            <w:r w:rsidR="00952BA4">
              <w:rPr>
                <w:noProof/>
                <w:webHidden/>
              </w:rPr>
              <w:t>12</w:t>
            </w:r>
            <w:r w:rsidR="00FD5457">
              <w:rPr>
                <w:noProof/>
                <w:webHidden/>
              </w:rPr>
              <w:fldChar w:fldCharType="end"/>
            </w:r>
          </w:hyperlink>
        </w:p>
        <w:p w14:paraId="16814408" w14:textId="2C11A598" w:rsidR="00FD5457" w:rsidRDefault="00020DE8">
          <w:pPr>
            <w:pStyle w:val="TOC1"/>
            <w:tabs>
              <w:tab w:val="left" w:pos="480"/>
              <w:tab w:val="right" w:leader="dot" w:pos="9016"/>
            </w:tabs>
            <w:rPr>
              <w:rFonts w:asciiTheme="minorHAnsi" w:eastAsiaTheme="minorEastAsia" w:hAnsiTheme="minorHAnsi" w:cstheme="minorBidi"/>
              <w:noProof/>
              <w:sz w:val="22"/>
              <w:szCs w:val="22"/>
              <w:lang w:val="en-NL" w:eastAsia="en-NL"/>
            </w:rPr>
          </w:pPr>
          <w:hyperlink w:anchor="_Toc528662150" w:history="1">
            <w:r w:rsidR="00FD5457" w:rsidRPr="00530A11">
              <w:rPr>
                <w:rStyle w:val="Hyperlink"/>
                <w:noProof/>
              </w:rPr>
              <w:t>4</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 xml:space="preserve">Disability, poverty and social exclusion – analysis of the situation and the </w:t>
            </w:r>
            <w:r w:rsidR="00952BA4">
              <w:rPr>
                <w:rStyle w:val="Hyperlink"/>
                <w:noProof/>
              </w:rPr>
              <w:tab/>
            </w:r>
            <w:r w:rsidR="00FD5457" w:rsidRPr="00530A11">
              <w:rPr>
                <w:rStyle w:val="Hyperlink"/>
                <w:noProof/>
              </w:rPr>
              <w:t>effectiveness of policies</w:t>
            </w:r>
            <w:r w:rsidR="00FD5457">
              <w:rPr>
                <w:noProof/>
                <w:webHidden/>
              </w:rPr>
              <w:tab/>
            </w:r>
            <w:r w:rsidR="00FD5457">
              <w:rPr>
                <w:noProof/>
                <w:webHidden/>
              </w:rPr>
              <w:fldChar w:fldCharType="begin"/>
            </w:r>
            <w:r w:rsidR="00FD5457">
              <w:rPr>
                <w:noProof/>
                <w:webHidden/>
              </w:rPr>
              <w:instrText xml:space="preserve"> PAGEREF _Toc528662150 \h </w:instrText>
            </w:r>
            <w:r w:rsidR="00FD5457">
              <w:rPr>
                <w:noProof/>
                <w:webHidden/>
              </w:rPr>
            </w:r>
            <w:r w:rsidR="00FD5457">
              <w:rPr>
                <w:noProof/>
                <w:webHidden/>
              </w:rPr>
              <w:fldChar w:fldCharType="separate"/>
            </w:r>
            <w:r w:rsidR="00952BA4">
              <w:rPr>
                <w:noProof/>
                <w:webHidden/>
              </w:rPr>
              <w:t>15</w:t>
            </w:r>
            <w:r w:rsidR="00FD5457">
              <w:rPr>
                <w:noProof/>
                <w:webHidden/>
              </w:rPr>
              <w:fldChar w:fldCharType="end"/>
            </w:r>
          </w:hyperlink>
        </w:p>
        <w:p w14:paraId="781BB43B" w14:textId="3C0A8FF6" w:rsidR="00FD5457" w:rsidRDefault="00020DE8">
          <w:pPr>
            <w:pStyle w:val="TOC1"/>
            <w:tabs>
              <w:tab w:val="left" w:pos="480"/>
              <w:tab w:val="right" w:leader="dot" w:pos="9016"/>
            </w:tabs>
            <w:rPr>
              <w:rFonts w:asciiTheme="minorHAnsi" w:eastAsiaTheme="minorEastAsia" w:hAnsiTheme="minorHAnsi" w:cstheme="minorBidi"/>
              <w:noProof/>
              <w:sz w:val="22"/>
              <w:szCs w:val="22"/>
              <w:lang w:val="en-NL" w:eastAsia="en-NL"/>
            </w:rPr>
          </w:pPr>
          <w:hyperlink w:anchor="_Toc528662151" w:history="1">
            <w:r w:rsidR="00FD5457" w:rsidRPr="00530A11">
              <w:rPr>
                <w:rStyle w:val="Hyperlink"/>
                <w:noProof/>
              </w:rPr>
              <w:t>5</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 xml:space="preserve">Opportunities to mainstream disability equality in the European Semester review </w:t>
            </w:r>
            <w:r w:rsidR="00952BA4">
              <w:rPr>
                <w:rStyle w:val="Hyperlink"/>
                <w:noProof/>
              </w:rPr>
              <w:tab/>
            </w:r>
            <w:r w:rsidR="00FD5457" w:rsidRPr="00530A11">
              <w:rPr>
                <w:rStyle w:val="Hyperlink"/>
                <w:noProof/>
              </w:rPr>
              <w:t>documents</w:t>
            </w:r>
            <w:r w:rsidR="00FD5457">
              <w:rPr>
                <w:noProof/>
                <w:webHidden/>
              </w:rPr>
              <w:tab/>
            </w:r>
            <w:r w:rsidR="00FD5457">
              <w:rPr>
                <w:noProof/>
                <w:webHidden/>
              </w:rPr>
              <w:fldChar w:fldCharType="begin"/>
            </w:r>
            <w:r w:rsidR="00FD5457">
              <w:rPr>
                <w:noProof/>
                <w:webHidden/>
              </w:rPr>
              <w:instrText xml:space="preserve"> PAGEREF _Toc528662151 \h </w:instrText>
            </w:r>
            <w:r w:rsidR="00FD5457">
              <w:rPr>
                <w:noProof/>
                <w:webHidden/>
              </w:rPr>
            </w:r>
            <w:r w:rsidR="00FD5457">
              <w:rPr>
                <w:noProof/>
                <w:webHidden/>
              </w:rPr>
              <w:fldChar w:fldCharType="separate"/>
            </w:r>
            <w:r w:rsidR="00952BA4">
              <w:rPr>
                <w:noProof/>
                <w:webHidden/>
              </w:rPr>
              <w:t>18</w:t>
            </w:r>
            <w:r w:rsidR="00FD5457">
              <w:rPr>
                <w:noProof/>
                <w:webHidden/>
              </w:rPr>
              <w:fldChar w:fldCharType="end"/>
            </w:r>
          </w:hyperlink>
        </w:p>
        <w:p w14:paraId="59DE26A8" w14:textId="7C419EBD" w:rsidR="00FD5457" w:rsidRDefault="00020DE8">
          <w:pPr>
            <w:pStyle w:val="TOC1"/>
            <w:tabs>
              <w:tab w:val="left" w:pos="480"/>
              <w:tab w:val="right" w:leader="dot" w:pos="9016"/>
            </w:tabs>
            <w:rPr>
              <w:rFonts w:asciiTheme="minorHAnsi" w:eastAsiaTheme="minorEastAsia" w:hAnsiTheme="minorHAnsi" w:cstheme="minorBidi"/>
              <w:noProof/>
              <w:sz w:val="22"/>
              <w:szCs w:val="22"/>
              <w:lang w:val="en-NL" w:eastAsia="en-NL"/>
            </w:rPr>
          </w:pPr>
          <w:hyperlink w:anchor="_Toc528662152" w:history="1">
            <w:r w:rsidR="00FD5457" w:rsidRPr="00530A11">
              <w:rPr>
                <w:rStyle w:val="Hyperlink"/>
                <w:noProof/>
              </w:rPr>
              <w:t>6</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 xml:space="preserve">Implementation of the European Structural and Investment Funds (ESIF) in </w:t>
            </w:r>
            <w:r w:rsidR="00952BA4">
              <w:rPr>
                <w:rStyle w:val="Hyperlink"/>
                <w:noProof/>
              </w:rPr>
              <w:tab/>
            </w:r>
            <w:r w:rsidR="00FD5457" w:rsidRPr="00530A11">
              <w:rPr>
                <w:rStyle w:val="Hyperlink"/>
                <w:noProof/>
              </w:rPr>
              <w:t>relation to disability</w:t>
            </w:r>
            <w:r w:rsidR="00FD5457">
              <w:rPr>
                <w:noProof/>
                <w:webHidden/>
              </w:rPr>
              <w:tab/>
            </w:r>
            <w:r w:rsidR="00FD5457">
              <w:rPr>
                <w:noProof/>
                <w:webHidden/>
              </w:rPr>
              <w:fldChar w:fldCharType="begin"/>
            </w:r>
            <w:r w:rsidR="00FD5457">
              <w:rPr>
                <w:noProof/>
                <w:webHidden/>
              </w:rPr>
              <w:instrText xml:space="preserve"> PAGEREF _Toc528662152 \h </w:instrText>
            </w:r>
            <w:r w:rsidR="00FD5457">
              <w:rPr>
                <w:noProof/>
                <w:webHidden/>
              </w:rPr>
            </w:r>
            <w:r w:rsidR="00FD5457">
              <w:rPr>
                <w:noProof/>
                <w:webHidden/>
              </w:rPr>
              <w:fldChar w:fldCharType="separate"/>
            </w:r>
            <w:r w:rsidR="00952BA4">
              <w:rPr>
                <w:noProof/>
                <w:webHidden/>
              </w:rPr>
              <w:t>22</w:t>
            </w:r>
            <w:r w:rsidR="00FD5457">
              <w:rPr>
                <w:noProof/>
                <w:webHidden/>
              </w:rPr>
              <w:fldChar w:fldCharType="end"/>
            </w:r>
          </w:hyperlink>
        </w:p>
        <w:p w14:paraId="3A7DD22C" w14:textId="0794DE56" w:rsidR="00FD5457" w:rsidRDefault="00020DE8">
          <w:pPr>
            <w:pStyle w:val="TOC1"/>
            <w:tabs>
              <w:tab w:val="left" w:pos="480"/>
              <w:tab w:val="right" w:leader="dot" w:pos="9016"/>
            </w:tabs>
            <w:rPr>
              <w:rFonts w:asciiTheme="minorHAnsi" w:eastAsiaTheme="minorEastAsia" w:hAnsiTheme="minorHAnsi" w:cstheme="minorBidi"/>
              <w:noProof/>
              <w:sz w:val="22"/>
              <w:szCs w:val="22"/>
              <w:lang w:val="en-NL" w:eastAsia="en-NL"/>
            </w:rPr>
          </w:pPr>
          <w:hyperlink w:anchor="_Toc528662153" w:history="1">
            <w:r w:rsidR="00FD5457" w:rsidRPr="00530A11">
              <w:rPr>
                <w:rStyle w:val="Hyperlink"/>
                <w:noProof/>
              </w:rPr>
              <w:t>7</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Statistical annex: disability data relevant to EU2020</w:t>
            </w:r>
            <w:r w:rsidR="00FD5457">
              <w:rPr>
                <w:noProof/>
                <w:webHidden/>
              </w:rPr>
              <w:tab/>
            </w:r>
            <w:r w:rsidR="00FD5457">
              <w:rPr>
                <w:noProof/>
                <w:webHidden/>
              </w:rPr>
              <w:fldChar w:fldCharType="begin"/>
            </w:r>
            <w:r w:rsidR="00FD5457">
              <w:rPr>
                <w:noProof/>
                <w:webHidden/>
              </w:rPr>
              <w:instrText xml:space="preserve"> PAGEREF _Toc528662153 \h </w:instrText>
            </w:r>
            <w:r w:rsidR="00FD5457">
              <w:rPr>
                <w:noProof/>
                <w:webHidden/>
              </w:rPr>
            </w:r>
            <w:r w:rsidR="00FD5457">
              <w:rPr>
                <w:noProof/>
                <w:webHidden/>
              </w:rPr>
              <w:fldChar w:fldCharType="separate"/>
            </w:r>
            <w:r w:rsidR="00952BA4">
              <w:rPr>
                <w:noProof/>
                <w:webHidden/>
              </w:rPr>
              <w:t>29</w:t>
            </w:r>
            <w:r w:rsidR="00FD5457">
              <w:rPr>
                <w:noProof/>
                <w:webHidden/>
              </w:rPr>
              <w:fldChar w:fldCharType="end"/>
            </w:r>
          </w:hyperlink>
        </w:p>
        <w:p w14:paraId="07F4C558" w14:textId="3F185E27" w:rsidR="00FD5457" w:rsidRDefault="00020DE8">
          <w:pPr>
            <w:pStyle w:val="TOC2"/>
            <w:tabs>
              <w:tab w:val="left" w:pos="880"/>
              <w:tab w:val="right" w:leader="dot" w:pos="9016"/>
            </w:tabs>
            <w:rPr>
              <w:rFonts w:asciiTheme="minorHAnsi" w:eastAsiaTheme="minorEastAsia" w:hAnsiTheme="minorHAnsi" w:cstheme="minorBidi"/>
              <w:noProof/>
              <w:sz w:val="22"/>
              <w:szCs w:val="22"/>
              <w:lang w:val="en-NL" w:eastAsia="en-NL"/>
            </w:rPr>
          </w:pPr>
          <w:hyperlink w:anchor="_Toc528662154" w:history="1">
            <w:r w:rsidR="00FD5457" w:rsidRPr="00530A11">
              <w:rPr>
                <w:rStyle w:val="Hyperlink"/>
                <w:noProof/>
              </w:rPr>
              <w:t>7.1</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Disability and employment data from EU-SILC</w:t>
            </w:r>
            <w:r w:rsidR="00FD5457">
              <w:rPr>
                <w:noProof/>
                <w:webHidden/>
              </w:rPr>
              <w:tab/>
            </w:r>
            <w:r w:rsidR="00FD5457">
              <w:rPr>
                <w:noProof/>
                <w:webHidden/>
              </w:rPr>
              <w:fldChar w:fldCharType="begin"/>
            </w:r>
            <w:r w:rsidR="00FD5457">
              <w:rPr>
                <w:noProof/>
                <w:webHidden/>
              </w:rPr>
              <w:instrText xml:space="preserve"> PAGEREF _Toc528662154 \h </w:instrText>
            </w:r>
            <w:r w:rsidR="00FD5457">
              <w:rPr>
                <w:noProof/>
                <w:webHidden/>
              </w:rPr>
            </w:r>
            <w:r w:rsidR="00FD5457">
              <w:rPr>
                <w:noProof/>
                <w:webHidden/>
              </w:rPr>
              <w:fldChar w:fldCharType="separate"/>
            </w:r>
            <w:r w:rsidR="00952BA4">
              <w:rPr>
                <w:noProof/>
                <w:webHidden/>
              </w:rPr>
              <w:t>30</w:t>
            </w:r>
            <w:r w:rsidR="00FD5457">
              <w:rPr>
                <w:noProof/>
                <w:webHidden/>
              </w:rPr>
              <w:fldChar w:fldCharType="end"/>
            </w:r>
          </w:hyperlink>
        </w:p>
        <w:p w14:paraId="54436EE6" w14:textId="5F44A7FC" w:rsidR="00FD5457" w:rsidRDefault="00020DE8">
          <w:pPr>
            <w:pStyle w:val="TOC3"/>
            <w:tabs>
              <w:tab w:val="left" w:pos="1320"/>
              <w:tab w:val="right" w:leader="dot" w:pos="9016"/>
            </w:tabs>
            <w:rPr>
              <w:rFonts w:asciiTheme="minorHAnsi" w:eastAsiaTheme="minorEastAsia" w:hAnsiTheme="minorHAnsi" w:cstheme="minorBidi"/>
              <w:noProof/>
              <w:sz w:val="22"/>
              <w:szCs w:val="22"/>
              <w:lang w:val="en-NL" w:eastAsia="en-NL"/>
            </w:rPr>
          </w:pPr>
          <w:hyperlink w:anchor="_Toc528662155" w:history="1">
            <w:r w:rsidR="00FD5457" w:rsidRPr="00530A11">
              <w:rPr>
                <w:rStyle w:val="Hyperlink"/>
                <w:noProof/>
              </w:rPr>
              <w:t>7.1.1</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Unemployment</w:t>
            </w:r>
            <w:r w:rsidR="00FD5457">
              <w:rPr>
                <w:noProof/>
                <w:webHidden/>
              </w:rPr>
              <w:tab/>
            </w:r>
            <w:r w:rsidR="00FD5457">
              <w:rPr>
                <w:noProof/>
                <w:webHidden/>
              </w:rPr>
              <w:fldChar w:fldCharType="begin"/>
            </w:r>
            <w:r w:rsidR="00FD5457">
              <w:rPr>
                <w:noProof/>
                <w:webHidden/>
              </w:rPr>
              <w:instrText xml:space="preserve"> PAGEREF _Toc528662155 \h </w:instrText>
            </w:r>
            <w:r w:rsidR="00FD5457">
              <w:rPr>
                <w:noProof/>
                <w:webHidden/>
              </w:rPr>
            </w:r>
            <w:r w:rsidR="00FD5457">
              <w:rPr>
                <w:noProof/>
                <w:webHidden/>
              </w:rPr>
              <w:fldChar w:fldCharType="separate"/>
            </w:r>
            <w:r w:rsidR="00952BA4">
              <w:rPr>
                <w:noProof/>
                <w:webHidden/>
              </w:rPr>
              <w:t>31</w:t>
            </w:r>
            <w:r w:rsidR="00FD5457">
              <w:rPr>
                <w:noProof/>
                <w:webHidden/>
              </w:rPr>
              <w:fldChar w:fldCharType="end"/>
            </w:r>
          </w:hyperlink>
        </w:p>
        <w:p w14:paraId="3A0254A8" w14:textId="186E6811" w:rsidR="00FD5457" w:rsidRDefault="00020DE8">
          <w:pPr>
            <w:pStyle w:val="TOC3"/>
            <w:tabs>
              <w:tab w:val="left" w:pos="1320"/>
              <w:tab w:val="right" w:leader="dot" w:pos="9016"/>
            </w:tabs>
            <w:rPr>
              <w:rFonts w:asciiTheme="minorHAnsi" w:eastAsiaTheme="minorEastAsia" w:hAnsiTheme="minorHAnsi" w:cstheme="minorBidi"/>
              <w:noProof/>
              <w:sz w:val="22"/>
              <w:szCs w:val="22"/>
              <w:lang w:val="en-NL" w:eastAsia="en-NL"/>
            </w:rPr>
          </w:pPr>
          <w:hyperlink w:anchor="_Toc528662156" w:history="1">
            <w:r w:rsidR="00FD5457" w:rsidRPr="00530A11">
              <w:rPr>
                <w:rStyle w:val="Hyperlink"/>
                <w:noProof/>
              </w:rPr>
              <w:t>7.1.2</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Economic activity</w:t>
            </w:r>
            <w:r w:rsidR="00FD5457">
              <w:rPr>
                <w:noProof/>
                <w:webHidden/>
              </w:rPr>
              <w:tab/>
            </w:r>
            <w:r w:rsidR="00FD5457">
              <w:rPr>
                <w:noProof/>
                <w:webHidden/>
              </w:rPr>
              <w:fldChar w:fldCharType="begin"/>
            </w:r>
            <w:r w:rsidR="00FD5457">
              <w:rPr>
                <w:noProof/>
                <w:webHidden/>
              </w:rPr>
              <w:instrText xml:space="preserve"> PAGEREF _Toc528662156 \h </w:instrText>
            </w:r>
            <w:r w:rsidR="00FD5457">
              <w:rPr>
                <w:noProof/>
                <w:webHidden/>
              </w:rPr>
            </w:r>
            <w:r w:rsidR="00FD5457">
              <w:rPr>
                <w:noProof/>
                <w:webHidden/>
              </w:rPr>
              <w:fldChar w:fldCharType="separate"/>
            </w:r>
            <w:r w:rsidR="00952BA4">
              <w:rPr>
                <w:noProof/>
                <w:webHidden/>
              </w:rPr>
              <w:t>32</w:t>
            </w:r>
            <w:r w:rsidR="00FD5457">
              <w:rPr>
                <w:noProof/>
                <w:webHidden/>
              </w:rPr>
              <w:fldChar w:fldCharType="end"/>
            </w:r>
          </w:hyperlink>
        </w:p>
        <w:p w14:paraId="0676887A" w14:textId="7D2DDB94" w:rsidR="00FD5457" w:rsidRDefault="00020DE8">
          <w:pPr>
            <w:pStyle w:val="TOC3"/>
            <w:tabs>
              <w:tab w:val="left" w:pos="1320"/>
              <w:tab w:val="right" w:leader="dot" w:pos="9016"/>
            </w:tabs>
            <w:rPr>
              <w:rFonts w:asciiTheme="minorHAnsi" w:eastAsiaTheme="minorEastAsia" w:hAnsiTheme="minorHAnsi" w:cstheme="minorBidi"/>
              <w:noProof/>
              <w:sz w:val="22"/>
              <w:szCs w:val="22"/>
              <w:lang w:val="en-NL" w:eastAsia="en-NL"/>
            </w:rPr>
          </w:pPr>
          <w:hyperlink w:anchor="_Toc528662157" w:history="1">
            <w:r w:rsidR="00FD5457" w:rsidRPr="00530A11">
              <w:rPr>
                <w:rStyle w:val="Hyperlink"/>
                <w:noProof/>
              </w:rPr>
              <w:t>7.1.3</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Alternative sources of national disability employment data</w:t>
            </w:r>
            <w:r w:rsidR="00FD5457">
              <w:rPr>
                <w:noProof/>
                <w:webHidden/>
              </w:rPr>
              <w:tab/>
            </w:r>
            <w:r w:rsidR="00FD5457">
              <w:rPr>
                <w:noProof/>
                <w:webHidden/>
              </w:rPr>
              <w:fldChar w:fldCharType="begin"/>
            </w:r>
            <w:r w:rsidR="00FD5457">
              <w:rPr>
                <w:noProof/>
                <w:webHidden/>
              </w:rPr>
              <w:instrText xml:space="preserve"> PAGEREF _Toc528662157 \h </w:instrText>
            </w:r>
            <w:r w:rsidR="00FD5457">
              <w:rPr>
                <w:noProof/>
                <w:webHidden/>
              </w:rPr>
            </w:r>
            <w:r w:rsidR="00FD5457">
              <w:rPr>
                <w:noProof/>
                <w:webHidden/>
              </w:rPr>
              <w:fldChar w:fldCharType="separate"/>
            </w:r>
            <w:r w:rsidR="00952BA4">
              <w:rPr>
                <w:noProof/>
                <w:webHidden/>
              </w:rPr>
              <w:t>33</w:t>
            </w:r>
            <w:r w:rsidR="00FD5457">
              <w:rPr>
                <w:noProof/>
                <w:webHidden/>
              </w:rPr>
              <w:fldChar w:fldCharType="end"/>
            </w:r>
          </w:hyperlink>
        </w:p>
        <w:p w14:paraId="0C5E62D3" w14:textId="35B6A61B" w:rsidR="00FD5457" w:rsidRDefault="00020DE8">
          <w:pPr>
            <w:pStyle w:val="TOC2"/>
            <w:tabs>
              <w:tab w:val="left" w:pos="880"/>
              <w:tab w:val="right" w:leader="dot" w:pos="9016"/>
            </w:tabs>
            <w:rPr>
              <w:rFonts w:asciiTheme="minorHAnsi" w:eastAsiaTheme="minorEastAsia" w:hAnsiTheme="minorHAnsi" w:cstheme="minorBidi"/>
              <w:noProof/>
              <w:sz w:val="22"/>
              <w:szCs w:val="22"/>
              <w:lang w:val="en-NL" w:eastAsia="en-NL"/>
            </w:rPr>
          </w:pPr>
          <w:hyperlink w:anchor="_Toc528662158" w:history="1">
            <w:r w:rsidR="00FD5457" w:rsidRPr="00530A11">
              <w:rPr>
                <w:rStyle w:val="Hyperlink"/>
                <w:noProof/>
              </w:rPr>
              <w:t>7.2</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Disability and educational attainment data from EU-SILC</w:t>
            </w:r>
            <w:r w:rsidR="00FD5457">
              <w:rPr>
                <w:noProof/>
                <w:webHidden/>
              </w:rPr>
              <w:tab/>
            </w:r>
            <w:r w:rsidR="00FD5457">
              <w:rPr>
                <w:noProof/>
                <w:webHidden/>
              </w:rPr>
              <w:fldChar w:fldCharType="begin"/>
            </w:r>
            <w:r w:rsidR="00FD5457">
              <w:rPr>
                <w:noProof/>
                <w:webHidden/>
              </w:rPr>
              <w:instrText xml:space="preserve"> PAGEREF _Toc528662158 \h </w:instrText>
            </w:r>
            <w:r w:rsidR="00FD5457">
              <w:rPr>
                <w:noProof/>
                <w:webHidden/>
              </w:rPr>
            </w:r>
            <w:r w:rsidR="00FD5457">
              <w:rPr>
                <w:noProof/>
                <w:webHidden/>
              </w:rPr>
              <w:fldChar w:fldCharType="separate"/>
            </w:r>
            <w:r w:rsidR="00952BA4">
              <w:rPr>
                <w:noProof/>
                <w:webHidden/>
              </w:rPr>
              <w:t>33</w:t>
            </w:r>
            <w:r w:rsidR="00FD5457">
              <w:rPr>
                <w:noProof/>
                <w:webHidden/>
              </w:rPr>
              <w:fldChar w:fldCharType="end"/>
            </w:r>
          </w:hyperlink>
        </w:p>
        <w:p w14:paraId="1C01FC77" w14:textId="4D40C6E3" w:rsidR="00FD5457" w:rsidRDefault="00020DE8">
          <w:pPr>
            <w:pStyle w:val="TOC3"/>
            <w:tabs>
              <w:tab w:val="left" w:pos="1320"/>
              <w:tab w:val="right" w:leader="dot" w:pos="9016"/>
            </w:tabs>
            <w:rPr>
              <w:rFonts w:asciiTheme="minorHAnsi" w:eastAsiaTheme="minorEastAsia" w:hAnsiTheme="minorHAnsi" w:cstheme="minorBidi"/>
              <w:noProof/>
              <w:sz w:val="22"/>
              <w:szCs w:val="22"/>
              <w:lang w:val="en-NL" w:eastAsia="en-NL"/>
            </w:rPr>
          </w:pPr>
          <w:hyperlink w:anchor="_Toc528662159" w:history="1">
            <w:r w:rsidR="00FD5457" w:rsidRPr="00530A11">
              <w:rPr>
                <w:rStyle w:val="Hyperlink"/>
                <w:noProof/>
              </w:rPr>
              <w:t>7.2.1</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Alternative sources of national disability education data</w:t>
            </w:r>
            <w:r w:rsidR="00FD5457">
              <w:rPr>
                <w:noProof/>
                <w:webHidden/>
              </w:rPr>
              <w:tab/>
            </w:r>
            <w:r w:rsidR="00FD5457">
              <w:rPr>
                <w:noProof/>
                <w:webHidden/>
              </w:rPr>
              <w:fldChar w:fldCharType="begin"/>
            </w:r>
            <w:r w:rsidR="00FD5457">
              <w:rPr>
                <w:noProof/>
                <w:webHidden/>
              </w:rPr>
              <w:instrText xml:space="preserve"> PAGEREF _Toc528662159 \h </w:instrText>
            </w:r>
            <w:r w:rsidR="00FD5457">
              <w:rPr>
                <w:noProof/>
                <w:webHidden/>
              </w:rPr>
            </w:r>
            <w:r w:rsidR="00FD5457">
              <w:rPr>
                <w:noProof/>
                <w:webHidden/>
              </w:rPr>
              <w:fldChar w:fldCharType="separate"/>
            </w:r>
            <w:r w:rsidR="00952BA4">
              <w:rPr>
                <w:noProof/>
                <w:webHidden/>
              </w:rPr>
              <w:t>35</w:t>
            </w:r>
            <w:r w:rsidR="00FD5457">
              <w:rPr>
                <w:noProof/>
                <w:webHidden/>
              </w:rPr>
              <w:fldChar w:fldCharType="end"/>
            </w:r>
          </w:hyperlink>
        </w:p>
        <w:p w14:paraId="133F2378" w14:textId="24D1B5DD" w:rsidR="00FD5457" w:rsidRDefault="00020DE8">
          <w:pPr>
            <w:pStyle w:val="TOC2"/>
            <w:tabs>
              <w:tab w:val="left" w:pos="880"/>
              <w:tab w:val="right" w:leader="dot" w:pos="9016"/>
            </w:tabs>
            <w:rPr>
              <w:rFonts w:asciiTheme="minorHAnsi" w:eastAsiaTheme="minorEastAsia" w:hAnsiTheme="minorHAnsi" w:cstheme="minorBidi"/>
              <w:noProof/>
              <w:sz w:val="22"/>
              <w:szCs w:val="22"/>
              <w:lang w:val="en-NL" w:eastAsia="en-NL"/>
            </w:rPr>
          </w:pPr>
          <w:hyperlink w:anchor="_Toc528662160" w:history="1">
            <w:r w:rsidR="00FD5457" w:rsidRPr="00530A11">
              <w:rPr>
                <w:rStyle w:val="Hyperlink"/>
                <w:noProof/>
              </w:rPr>
              <w:t>7.3</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Disability and poverty or social exclusion data from EU-SILC</w:t>
            </w:r>
            <w:r w:rsidR="00FD5457">
              <w:rPr>
                <w:noProof/>
                <w:webHidden/>
              </w:rPr>
              <w:tab/>
            </w:r>
            <w:r w:rsidR="00FD5457">
              <w:rPr>
                <w:noProof/>
                <w:webHidden/>
              </w:rPr>
              <w:fldChar w:fldCharType="begin"/>
            </w:r>
            <w:r w:rsidR="00FD5457">
              <w:rPr>
                <w:noProof/>
                <w:webHidden/>
              </w:rPr>
              <w:instrText xml:space="preserve"> PAGEREF _Toc528662160 \h </w:instrText>
            </w:r>
            <w:r w:rsidR="00FD5457">
              <w:rPr>
                <w:noProof/>
                <w:webHidden/>
              </w:rPr>
            </w:r>
            <w:r w:rsidR="00FD5457">
              <w:rPr>
                <w:noProof/>
                <w:webHidden/>
              </w:rPr>
              <w:fldChar w:fldCharType="separate"/>
            </w:r>
            <w:r w:rsidR="00952BA4">
              <w:rPr>
                <w:noProof/>
                <w:webHidden/>
              </w:rPr>
              <w:t>36</w:t>
            </w:r>
            <w:r w:rsidR="00FD5457">
              <w:rPr>
                <w:noProof/>
                <w:webHidden/>
              </w:rPr>
              <w:fldChar w:fldCharType="end"/>
            </w:r>
          </w:hyperlink>
        </w:p>
        <w:p w14:paraId="78407BF2" w14:textId="0F61E5E7" w:rsidR="00FD5457" w:rsidRDefault="00020DE8">
          <w:pPr>
            <w:pStyle w:val="TOC3"/>
            <w:tabs>
              <w:tab w:val="left" w:pos="1320"/>
              <w:tab w:val="right" w:leader="dot" w:pos="9016"/>
            </w:tabs>
            <w:rPr>
              <w:rFonts w:asciiTheme="minorHAnsi" w:eastAsiaTheme="minorEastAsia" w:hAnsiTheme="minorHAnsi" w:cstheme="minorBidi"/>
              <w:noProof/>
              <w:sz w:val="22"/>
              <w:szCs w:val="22"/>
              <w:lang w:val="en-NL" w:eastAsia="en-NL"/>
            </w:rPr>
          </w:pPr>
          <w:hyperlink w:anchor="_Toc528662161" w:history="1">
            <w:r w:rsidR="00FD5457" w:rsidRPr="00530A11">
              <w:rPr>
                <w:rStyle w:val="Hyperlink"/>
                <w:noProof/>
              </w:rPr>
              <w:t>7.3.1</w:t>
            </w:r>
            <w:r w:rsidR="00FD5457">
              <w:rPr>
                <w:rFonts w:asciiTheme="minorHAnsi" w:eastAsiaTheme="minorEastAsia" w:hAnsiTheme="minorHAnsi" w:cstheme="minorBidi"/>
                <w:noProof/>
                <w:sz w:val="22"/>
                <w:szCs w:val="22"/>
                <w:lang w:val="en-NL" w:eastAsia="en-NL"/>
              </w:rPr>
              <w:tab/>
            </w:r>
            <w:r w:rsidR="00FD5457" w:rsidRPr="00530A11">
              <w:rPr>
                <w:rStyle w:val="Hyperlink"/>
                <w:noProof/>
              </w:rPr>
              <w:t>Alternative sources of national disability poverty data</w:t>
            </w:r>
            <w:r w:rsidR="00FD5457">
              <w:rPr>
                <w:noProof/>
                <w:webHidden/>
              </w:rPr>
              <w:tab/>
            </w:r>
            <w:r w:rsidR="00FD5457">
              <w:rPr>
                <w:noProof/>
                <w:webHidden/>
              </w:rPr>
              <w:fldChar w:fldCharType="begin"/>
            </w:r>
            <w:r w:rsidR="00FD5457">
              <w:rPr>
                <w:noProof/>
                <w:webHidden/>
              </w:rPr>
              <w:instrText xml:space="preserve"> PAGEREF _Toc528662161 \h </w:instrText>
            </w:r>
            <w:r w:rsidR="00FD5457">
              <w:rPr>
                <w:noProof/>
                <w:webHidden/>
              </w:rPr>
            </w:r>
            <w:r w:rsidR="00FD5457">
              <w:rPr>
                <w:noProof/>
                <w:webHidden/>
              </w:rPr>
              <w:fldChar w:fldCharType="separate"/>
            </w:r>
            <w:r w:rsidR="00952BA4">
              <w:rPr>
                <w:noProof/>
                <w:webHidden/>
              </w:rPr>
              <w:t>37</w:t>
            </w:r>
            <w:r w:rsidR="00FD5457">
              <w:rPr>
                <w:noProof/>
                <w:webHidden/>
              </w:rPr>
              <w:fldChar w:fldCharType="end"/>
            </w:r>
          </w:hyperlink>
        </w:p>
        <w:p w14:paraId="0E1C6AD6" w14:textId="41BD83A1" w:rsidR="00A14F67" w:rsidRDefault="00A14F67">
          <w:r>
            <w:rPr>
              <w:b/>
              <w:bCs/>
              <w:noProof/>
            </w:rPr>
            <w:fldChar w:fldCharType="end"/>
          </w:r>
        </w:p>
      </w:sdtContent>
    </w:sdt>
    <w:p w14:paraId="59642CD5" w14:textId="77777777" w:rsidR="004D01C6" w:rsidRDefault="004D01C6">
      <w:pPr>
        <w:spacing w:after="200" w:line="276" w:lineRule="auto"/>
      </w:pPr>
      <w:r>
        <w:br w:type="page"/>
      </w:r>
    </w:p>
    <w:p w14:paraId="3A934545" w14:textId="77777777" w:rsidR="00AB2647" w:rsidRDefault="004D01C6" w:rsidP="00EA2D9C">
      <w:pPr>
        <w:pStyle w:val="Heading1"/>
        <w:jc w:val="both"/>
      </w:pPr>
      <w:bookmarkStart w:id="0" w:name="_Toc528662142"/>
      <w:r w:rsidRPr="00AF323E">
        <w:lastRenderedPageBreak/>
        <w:t xml:space="preserve">Summary </w:t>
      </w:r>
      <w:r w:rsidR="00AB2647">
        <w:t>and recommendations</w:t>
      </w:r>
      <w:bookmarkEnd w:id="0"/>
    </w:p>
    <w:p w14:paraId="0D78FA98" w14:textId="77777777" w:rsidR="00AB2647" w:rsidRPr="00AB2647" w:rsidRDefault="00AB2647" w:rsidP="00EA2D9C">
      <w:pPr>
        <w:jc w:val="both"/>
      </w:pPr>
    </w:p>
    <w:p w14:paraId="7318BFB7" w14:textId="22A96D8D" w:rsidR="004D01C6" w:rsidRPr="00AF323E" w:rsidRDefault="00AB2647" w:rsidP="00EA2D9C">
      <w:pPr>
        <w:pStyle w:val="Heading2"/>
        <w:jc w:val="both"/>
      </w:pPr>
      <w:bookmarkStart w:id="1" w:name="_Toc528662143"/>
      <w:r>
        <w:t xml:space="preserve">Key </w:t>
      </w:r>
      <w:r w:rsidR="00EC13E4">
        <w:t>features of</w:t>
      </w:r>
      <w:r w:rsidR="004D01C6" w:rsidRPr="00AF323E">
        <w:t xml:space="preserve"> the </w:t>
      </w:r>
      <w:r w:rsidR="00696A74">
        <w:t>disability</w:t>
      </w:r>
      <w:r w:rsidR="004D01C6" w:rsidRPr="00AF323E">
        <w:t xml:space="preserve"> situation and challenges</w:t>
      </w:r>
      <w:r w:rsidR="00FB7E17">
        <w:t xml:space="preserve"> in 2018-19</w:t>
      </w:r>
      <w:bookmarkEnd w:id="1"/>
    </w:p>
    <w:p w14:paraId="35EA6701" w14:textId="711A880F" w:rsidR="00DB1A78" w:rsidRDefault="00DB1A78" w:rsidP="00EA2D9C">
      <w:pPr>
        <w:jc w:val="both"/>
      </w:pPr>
    </w:p>
    <w:p w14:paraId="16FFC492" w14:textId="0F74F7B3" w:rsidR="004A2AE2" w:rsidRDefault="004A2AE2" w:rsidP="00EA2D9C">
      <w:pPr>
        <w:jc w:val="both"/>
      </w:pPr>
      <w:r w:rsidRPr="001A1BD2">
        <w:rPr>
          <w:rFonts w:eastAsia="Times New Roman"/>
          <w:color w:val="000000"/>
          <w:lang w:eastAsia="cs-CZ"/>
        </w:rPr>
        <w:t xml:space="preserve">The Czech Republic performs relatively well </w:t>
      </w:r>
      <w:r>
        <w:rPr>
          <w:rFonts w:eastAsia="Times New Roman"/>
          <w:color w:val="000000"/>
          <w:lang w:eastAsia="cs-CZ"/>
        </w:rPr>
        <w:t xml:space="preserve">on headline indicators, </w:t>
      </w:r>
      <w:r w:rsidRPr="001A1BD2">
        <w:rPr>
          <w:rFonts w:eastAsia="Times New Roman"/>
          <w:color w:val="000000"/>
          <w:lang w:eastAsia="cs-CZ"/>
        </w:rPr>
        <w:t xml:space="preserve">with low unemployment, a low share of people at risk of poverty or social exclusion rate, </w:t>
      </w:r>
      <w:r>
        <w:rPr>
          <w:rFonts w:eastAsia="Times New Roman"/>
          <w:color w:val="000000"/>
          <w:lang w:eastAsia="cs-CZ"/>
        </w:rPr>
        <w:t xml:space="preserve">but with </w:t>
      </w:r>
      <w:r w:rsidRPr="001A1BD2">
        <w:rPr>
          <w:rFonts w:eastAsia="Times New Roman"/>
          <w:color w:val="000000"/>
          <w:lang w:eastAsia="cs-CZ"/>
        </w:rPr>
        <w:t xml:space="preserve">income inequality. However, the trends in employment of persons with disabilities </w:t>
      </w:r>
      <w:proofErr w:type="gramStart"/>
      <w:r w:rsidR="009E51A7">
        <w:rPr>
          <w:rFonts w:eastAsia="Times New Roman"/>
          <w:color w:val="000000"/>
          <w:lang w:eastAsia="cs-CZ"/>
        </w:rPr>
        <w:t>lag</w:t>
      </w:r>
      <w:r w:rsidR="009E51A7" w:rsidRPr="001A1BD2">
        <w:rPr>
          <w:rFonts w:eastAsia="Times New Roman"/>
          <w:color w:val="000000"/>
          <w:lang w:eastAsia="cs-CZ"/>
        </w:rPr>
        <w:t xml:space="preserve"> </w:t>
      </w:r>
      <w:r w:rsidRPr="001A1BD2">
        <w:rPr>
          <w:rFonts w:eastAsia="Times New Roman"/>
          <w:color w:val="000000"/>
          <w:lang w:eastAsia="cs-CZ"/>
        </w:rPr>
        <w:t>behind</w:t>
      </w:r>
      <w:proofErr w:type="gramEnd"/>
      <w:r w:rsidRPr="001A1BD2">
        <w:rPr>
          <w:rFonts w:eastAsia="Times New Roman"/>
          <w:color w:val="000000"/>
          <w:lang w:eastAsia="cs-CZ"/>
        </w:rPr>
        <w:t xml:space="preserve"> this development</w:t>
      </w:r>
      <w:r w:rsidR="009E51A7">
        <w:rPr>
          <w:rFonts w:eastAsia="Times New Roman"/>
          <w:color w:val="000000"/>
          <w:lang w:eastAsia="cs-CZ"/>
        </w:rPr>
        <w:t xml:space="preserve"> and t</w:t>
      </w:r>
      <w:r w:rsidRPr="001A1BD2">
        <w:rPr>
          <w:rFonts w:eastAsia="Times New Roman"/>
          <w:color w:val="000000"/>
          <w:lang w:eastAsia="cs-CZ"/>
        </w:rPr>
        <w:t>he p</w:t>
      </w:r>
      <w:r w:rsidRPr="001A1BD2">
        <w:t xml:space="preserve">ublic employment services fall short in providing disabled jobseekers with person-centred and continuous support. There are gaps in effectiveness of active employment policy measures.  </w:t>
      </w:r>
    </w:p>
    <w:p w14:paraId="4AF0C000" w14:textId="77777777" w:rsidR="004A2AE2" w:rsidRDefault="004A2AE2" w:rsidP="00EA2D9C">
      <w:pPr>
        <w:jc w:val="both"/>
        <w:rPr>
          <w:color w:val="000000"/>
        </w:rPr>
      </w:pPr>
    </w:p>
    <w:p w14:paraId="7B511E10" w14:textId="43C06DBB" w:rsidR="004A2AE2" w:rsidRDefault="004A2AE2" w:rsidP="00EA2D9C">
      <w:pPr>
        <w:autoSpaceDE w:val="0"/>
        <w:autoSpaceDN w:val="0"/>
        <w:adjustRightInd w:val="0"/>
        <w:jc w:val="both"/>
      </w:pPr>
      <w:r w:rsidRPr="001A1BD2">
        <w:t>The early school-leavers rate remains low in the Czech Republic</w:t>
      </w:r>
      <w:r w:rsidR="009E51A7">
        <w:t>,</w:t>
      </w:r>
      <w:r w:rsidRPr="001A1BD2">
        <w:t xml:space="preserve"> comp</w:t>
      </w:r>
      <w:r w:rsidR="009E51A7">
        <w:t>a</w:t>
      </w:r>
      <w:r w:rsidRPr="001A1BD2">
        <w:t xml:space="preserve">red to </w:t>
      </w:r>
      <w:r w:rsidR="009E51A7">
        <w:t xml:space="preserve">the </w:t>
      </w:r>
      <w:r w:rsidRPr="001A1BD2">
        <w:t>EU28 average</w:t>
      </w:r>
      <w:r w:rsidR="009E51A7">
        <w:t>,</w:t>
      </w:r>
      <w:r w:rsidRPr="001A1BD2">
        <w:t xml:space="preserve"> but </w:t>
      </w:r>
      <w:r w:rsidR="009E51A7">
        <w:t xml:space="preserve">it </w:t>
      </w:r>
      <w:r w:rsidRPr="001A1BD2">
        <w:t xml:space="preserve">is higher for people with disabilities. The </w:t>
      </w:r>
      <w:r w:rsidR="009E51A7">
        <w:t xml:space="preserve">UN </w:t>
      </w:r>
      <w:r w:rsidRPr="001A1BD2">
        <w:t>Committee recommend</w:t>
      </w:r>
      <w:r w:rsidR="009E51A7">
        <w:t>ed</w:t>
      </w:r>
      <w:r w:rsidRPr="001A1BD2">
        <w:t xml:space="preserve"> implementing the amended School Act, </w:t>
      </w:r>
      <w:r w:rsidR="009E51A7">
        <w:t xml:space="preserve">and to </w:t>
      </w:r>
      <w:r w:rsidRPr="001A1BD2">
        <w:t xml:space="preserve">incorporate inclusive education as the guiding principle of the education system. </w:t>
      </w:r>
      <w:r w:rsidRPr="001A1BD2">
        <w:rPr>
          <w:rFonts w:eastAsia="Times New Roman"/>
          <w:color w:val="000000"/>
          <w:lang w:eastAsia="cs-CZ"/>
        </w:rPr>
        <w:t>The Amendment of the Education Act 561 came into force in September 2016</w:t>
      </w:r>
      <w:r w:rsidR="009E51A7">
        <w:rPr>
          <w:rFonts w:eastAsia="Times New Roman"/>
          <w:color w:val="000000"/>
          <w:lang w:eastAsia="cs-CZ"/>
        </w:rPr>
        <w:t xml:space="preserve"> but continuing p</w:t>
      </w:r>
      <w:r w:rsidRPr="001A1BD2">
        <w:rPr>
          <w:bCs/>
          <w:iCs/>
        </w:rPr>
        <w:t xml:space="preserve">rogress </w:t>
      </w:r>
      <w:r w:rsidR="009E51A7">
        <w:rPr>
          <w:bCs/>
          <w:iCs/>
        </w:rPr>
        <w:t>on</w:t>
      </w:r>
      <w:r w:rsidR="009E51A7" w:rsidRPr="001A1BD2">
        <w:rPr>
          <w:bCs/>
          <w:iCs/>
        </w:rPr>
        <w:t xml:space="preserve"> </w:t>
      </w:r>
      <w:r w:rsidRPr="001A1BD2">
        <w:t>inclusi</w:t>
      </w:r>
      <w:r w:rsidR="009E51A7">
        <w:t>on</w:t>
      </w:r>
      <w:r w:rsidRPr="001A1BD2">
        <w:t xml:space="preserve"> will depend on the availability of </w:t>
      </w:r>
      <w:proofErr w:type="gramStart"/>
      <w:r w:rsidRPr="001A1BD2">
        <w:t>sufficient</w:t>
      </w:r>
      <w:proofErr w:type="gramEnd"/>
      <w:r w:rsidRPr="001A1BD2">
        <w:t xml:space="preserve"> and sustainable national funding, </w:t>
      </w:r>
      <w:r w:rsidR="009E51A7">
        <w:t xml:space="preserve">as well as </w:t>
      </w:r>
      <w:r w:rsidRPr="001A1BD2">
        <w:t xml:space="preserve">further teacher and teaching-assistant training. The Parliament did not accept the bill on </w:t>
      </w:r>
      <w:r w:rsidR="009E51A7">
        <w:t>teacher</w:t>
      </w:r>
      <w:r w:rsidR="009E51A7" w:rsidRPr="001A1BD2">
        <w:t xml:space="preserve"> </w:t>
      </w:r>
      <w:r w:rsidRPr="001A1BD2">
        <w:t>career structure in 2017. Hence, progress in teachers´ professional development policies remains unsatisfactory.</w:t>
      </w:r>
    </w:p>
    <w:p w14:paraId="414846D3" w14:textId="77777777" w:rsidR="004A2AE2" w:rsidRDefault="004A2AE2" w:rsidP="00EA2D9C">
      <w:pPr>
        <w:jc w:val="both"/>
        <w:rPr>
          <w:color w:val="000000"/>
        </w:rPr>
      </w:pPr>
    </w:p>
    <w:p w14:paraId="2C8BC082" w14:textId="71F34522" w:rsidR="004A2AE2" w:rsidRDefault="004A2AE2" w:rsidP="00EA2D9C">
      <w:pPr>
        <w:pStyle w:val="ListParagraph"/>
        <w:ind w:left="0"/>
        <w:jc w:val="both"/>
      </w:pPr>
      <w:r w:rsidRPr="001A1BD2">
        <w:t>T</w:t>
      </w:r>
      <w:r w:rsidRPr="001A1BD2">
        <w:rPr>
          <w:color w:val="000000"/>
          <w:shd w:val="clear" w:color="auto" w:fill="FFFFFF"/>
        </w:rPr>
        <w:t>he existing disability assessment draws predominantly on medical examination.</w:t>
      </w:r>
      <w:r>
        <w:rPr>
          <w:color w:val="000000"/>
          <w:shd w:val="clear" w:color="auto" w:fill="FFFFFF"/>
        </w:rPr>
        <w:t xml:space="preserve"> The overarching aim of the disability assessment is to compensate reduced work capacity of the person. The assessment fails to evaluate work potential of the person and to recommend employment opportunities and relevant support instruments. </w:t>
      </w:r>
    </w:p>
    <w:p w14:paraId="47A6D9EF" w14:textId="77777777" w:rsidR="004A2AE2" w:rsidRDefault="004A2AE2" w:rsidP="00EA2D9C">
      <w:pPr>
        <w:jc w:val="both"/>
        <w:rPr>
          <w:color w:val="000000"/>
        </w:rPr>
      </w:pPr>
    </w:p>
    <w:p w14:paraId="4BE3D0E3" w14:textId="0EE4F15E" w:rsidR="004A2AE2" w:rsidRDefault="004A2AE2" w:rsidP="00EA2D9C">
      <w:pPr>
        <w:jc w:val="both"/>
        <w:rPr>
          <w:rFonts w:eastAsia="Times New Roman"/>
          <w:color w:val="000000"/>
          <w:lang w:eastAsia="cs-CZ"/>
        </w:rPr>
      </w:pPr>
      <w:r w:rsidRPr="00086DAC">
        <w:rPr>
          <w:color w:val="000000"/>
        </w:rPr>
        <w:t>In 2015</w:t>
      </w:r>
      <w:r w:rsidRPr="00086DAC">
        <w:t xml:space="preserve"> the </w:t>
      </w:r>
      <w:r>
        <w:t>UN</w:t>
      </w:r>
      <w:r w:rsidRPr="00086DAC">
        <w:t xml:space="preserve"> Committee urge</w:t>
      </w:r>
      <w:r>
        <w:t>d</w:t>
      </w:r>
      <w:r w:rsidRPr="00086DAC">
        <w:t xml:space="preserve"> the State </w:t>
      </w:r>
      <w:r>
        <w:t>‘</w:t>
      </w:r>
      <w:r w:rsidRPr="00086DAC">
        <w:t xml:space="preserve">to step up the process of deinstitutionalization and to allocate sufficient resources for the development of support services in local </w:t>
      </w:r>
      <w:proofErr w:type="gramStart"/>
      <w:r w:rsidRPr="00086DAC">
        <w:t>communities</w:t>
      </w:r>
      <w:r>
        <w:t>’</w:t>
      </w:r>
      <w:proofErr w:type="gramEnd"/>
      <w:r w:rsidRPr="00086DAC">
        <w:t>. Despite</w:t>
      </w:r>
      <w:r>
        <w:t xml:space="preserve"> some progress in deinstitutionalisation, the challenges continue and particularly in financing the social services adequately and sustainably. Access to c</w:t>
      </w:r>
      <w:r w:rsidRPr="00ED3E75">
        <w:t xml:space="preserve">ommunity-based services </w:t>
      </w:r>
      <w:r>
        <w:t xml:space="preserve">is limited which </w:t>
      </w:r>
      <w:r w:rsidRPr="00ED3E75">
        <w:t>p</w:t>
      </w:r>
      <w:r>
        <w:t>revents</w:t>
      </w:r>
      <w:r w:rsidRPr="00ED3E75">
        <w:t xml:space="preserve"> disabled people exercising their right to decide where to live</w:t>
      </w:r>
      <w:r w:rsidRPr="001A1BD2">
        <w:t xml:space="preserve">. </w:t>
      </w:r>
      <w:r>
        <w:rPr>
          <w:rFonts w:eastAsia="Times New Roman"/>
          <w:color w:val="000000"/>
          <w:lang w:eastAsia="cs-CZ"/>
        </w:rPr>
        <w:t>C</w:t>
      </w:r>
      <w:r w:rsidRPr="001A1BD2">
        <w:rPr>
          <w:rFonts w:eastAsia="Times New Roman"/>
          <w:color w:val="000000"/>
          <w:lang w:eastAsia="cs-CZ"/>
        </w:rPr>
        <w:t xml:space="preserve">are for people who need </w:t>
      </w:r>
      <w:r>
        <w:rPr>
          <w:rFonts w:eastAsia="Times New Roman"/>
          <w:color w:val="000000"/>
          <w:lang w:eastAsia="cs-CZ"/>
        </w:rPr>
        <w:t xml:space="preserve">both </w:t>
      </w:r>
      <w:r w:rsidRPr="001A1BD2">
        <w:rPr>
          <w:rFonts w:eastAsia="Times New Roman"/>
          <w:color w:val="000000"/>
          <w:lang w:eastAsia="cs-CZ"/>
        </w:rPr>
        <w:t xml:space="preserve">health and social services continues to be problematic. </w:t>
      </w:r>
      <w:r>
        <w:rPr>
          <w:rFonts w:eastAsia="Times New Roman"/>
          <w:color w:val="000000"/>
          <w:lang w:eastAsia="cs-CZ"/>
        </w:rPr>
        <w:t>A</w:t>
      </w:r>
      <w:r w:rsidRPr="001A1BD2">
        <w:rPr>
          <w:rFonts w:eastAsia="Times New Roman"/>
          <w:color w:val="000000"/>
          <w:lang w:eastAsia="cs-CZ"/>
        </w:rPr>
        <w:t xml:space="preserve">mbiguous legislation insufficiently defines </w:t>
      </w:r>
      <w:r>
        <w:rPr>
          <w:rFonts w:eastAsia="Times New Roman"/>
          <w:color w:val="000000"/>
          <w:lang w:eastAsia="cs-CZ"/>
        </w:rPr>
        <w:t xml:space="preserve">the </w:t>
      </w:r>
      <w:r w:rsidRPr="001A1BD2">
        <w:rPr>
          <w:rFonts w:eastAsia="Times New Roman"/>
          <w:color w:val="000000"/>
          <w:lang w:eastAsia="cs-CZ"/>
        </w:rPr>
        <w:t xml:space="preserve">competences of both sectors. </w:t>
      </w:r>
    </w:p>
    <w:p w14:paraId="0BF4E837" w14:textId="77777777" w:rsidR="004A2AE2" w:rsidRDefault="004A2AE2" w:rsidP="00EA2D9C">
      <w:pPr>
        <w:jc w:val="both"/>
        <w:rPr>
          <w:rFonts w:eastAsia="Times New Roman"/>
          <w:color w:val="000000"/>
          <w:lang w:eastAsia="cs-CZ"/>
        </w:rPr>
      </w:pPr>
    </w:p>
    <w:p w14:paraId="6F4DAB38" w14:textId="7DD18142" w:rsidR="004A2AE2" w:rsidRDefault="004A2AE2" w:rsidP="00EA2D9C">
      <w:pPr>
        <w:jc w:val="both"/>
      </w:pPr>
      <w:r w:rsidRPr="001A1BD2">
        <w:rPr>
          <w:rFonts w:eastAsia="Times New Roman"/>
          <w:color w:val="000000"/>
          <w:lang w:eastAsia="cs-CZ"/>
        </w:rPr>
        <w:t xml:space="preserve">In addition, distinct </w:t>
      </w:r>
      <w:r w:rsidRPr="001A1BD2">
        <w:t>financial schemes (health care and social care) distort</w:t>
      </w:r>
      <w:r>
        <w:t xml:space="preserve"> the long-term care system</w:t>
      </w:r>
      <w:r w:rsidRPr="007E2F8F">
        <w:t>.</w:t>
      </w:r>
      <w:r w:rsidRPr="004A2AE2">
        <w:t xml:space="preserve"> </w:t>
      </w:r>
      <w:r>
        <w:t>Despite some efforts during last two decades, rules of co-ordinated rehabilitation have not been completed. Support for persons with disabilities continues to be fragmented into health care, education and training, vocational rehabilitation and social services.</w:t>
      </w:r>
    </w:p>
    <w:p w14:paraId="4038F242" w14:textId="77777777" w:rsidR="004A2AE2" w:rsidRDefault="004A2AE2" w:rsidP="00EA2D9C">
      <w:pPr>
        <w:jc w:val="both"/>
        <w:rPr>
          <w:bCs/>
          <w:color w:val="000000"/>
        </w:rPr>
      </w:pPr>
    </w:p>
    <w:p w14:paraId="32118A2D" w14:textId="3B9BE59B" w:rsidR="004A2AE2" w:rsidRDefault="004A2AE2" w:rsidP="00EA2D9C">
      <w:pPr>
        <w:jc w:val="both"/>
        <w:rPr>
          <w:rFonts w:ascii="ArialMT" w:hAnsi="ArialMT" w:cs="ArialMT"/>
        </w:rPr>
      </w:pPr>
      <w:r>
        <w:rPr>
          <w:shd w:val="clear" w:color="auto" w:fill="FFFFFF"/>
        </w:rPr>
        <w:t>The reform of</w:t>
      </w:r>
      <w:r w:rsidRPr="00EF42AB">
        <w:rPr>
          <w:shd w:val="clear" w:color="auto" w:fill="FFFFFF"/>
        </w:rPr>
        <w:t xml:space="preserve"> </w:t>
      </w:r>
      <w:r>
        <w:rPr>
          <w:shd w:val="clear" w:color="auto" w:fill="FFFFFF"/>
        </w:rPr>
        <w:t xml:space="preserve">the </w:t>
      </w:r>
      <w:r w:rsidR="00EA2D9C">
        <w:rPr>
          <w:shd w:val="clear" w:color="auto" w:fill="FFFFFF"/>
        </w:rPr>
        <w:t>long-term</w:t>
      </w:r>
      <w:r>
        <w:rPr>
          <w:shd w:val="clear" w:color="auto" w:fill="FFFFFF"/>
        </w:rPr>
        <w:t xml:space="preserve"> mental health care</w:t>
      </w:r>
      <w:r w:rsidRPr="00EF42AB">
        <w:rPr>
          <w:shd w:val="clear" w:color="auto" w:fill="FFFFFF"/>
        </w:rPr>
        <w:t xml:space="preserve"> </w:t>
      </w:r>
      <w:r>
        <w:rPr>
          <w:shd w:val="clear" w:color="auto" w:fill="FFFFFF"/>
        </w:rPr>
        <w:t xml:space="preserve">is </w:t>
      </w:r>
      <w:r w:rsidRPr="00EF42AB">
        <w:rPr>
          <w:shd w:val="clear" w:color="auto" w:fill="FFFFFF"/>
        </w:rPr>
        <w:t xml:space="preserve">in </w:t>
      </w:r>
      <w:r>
        <w:rPr>
          <w:shd w:val="clear" w:color="auto" w:fill="FFFFFF"/>
        </w:rPr>
        <w:t xml:space="preserve">progress in </w:t>
      </w:r>
      <w:r w:rsidRPr="00EF42AB">
        <w:rPr>
          <w:shd w:val="clear" w:color="auto" w:fill="FFFFFF"/>
        </w:rPr>
        <w:t xml:space="preserve">the Czech Republic. </w:t>
      </w:r>
      <w:r w:rsidRPr="001A1BD2">
        <w:rPr>
          <w:shd w:val="clear" w:color="auto" w:fill="FFFFFF"/>
        </w:rPr>
        <w:t xml:space="preserve">ESIF has been utilised to initiate positive changes such as supporting cross-sectoral approach however </w:t>
      </w:r>
      <w:r w:rsidRPr="001A1BD2">
        <w:rPr>
          <w:rFonts w:ascii="ArialMT" w:hAnsi="ArialMT" w:cs="ArialMT"/>
        </w:rPr>
        <w:t>with relatively incomplete outcomes so far.</w:t>
      </w:r>
    </w:p>
    <w:p w14:paraId="5CDA8A19" w14:textId="77777777" w:rsidR="004A2AE2" w:rsidRDefault="004A2AE2" w:rsidP="00EA2D9C">
      <w:pPr>
        <w:jc w:val="both"/>
        <w:rPr>
          <w:bCs/>
          <w:color w:val="000000"/>
        </w:rPr>
      </w:pPr>
    </w:p>
    <w:p w14:paraId="1077BE01" w14:textId="57FA35F1" w:rsidR="00F14546" w:rsidRDefault="004A2AE2" w:rsidP="00EA2D9C">
      <w:pPr>
        <w:jc w:val="both"/>
        <w:rPr>
          <w:color w:val="000000"/>
        </w:rPr>
      </w:pPr>
      <w:r>
        <w:rPr>
          <w:bCs/>
          <w:color w:val="000000"/>
        </w:rPr>
        <w:t xml:space="preserve">The </w:t>
      </w:r>
      <w:r w:rsidR="00F14546" w:rsidRPr="006B7EBF">
        <w:rPr>
          <w:bCs/>
          <w:color w:val="000000"/>
        </w:rPr>
        <w:t xml:space="preserve">Czech Republic </w:t>
      </w:r>
      <w:r w:rsidR="00F14546" w:rsidRPr="006B7EBF">
        <w:rPr>
          <w:color w:val="000000"/>
        </w:rPr>
        <w:t xml:space="preserve">has still not ratified the Optional Protocol to the </w:t>
      </w:r>
      <w:r>
        <w:rPr>
          <w:color w:val="000000"/>
        </w:rPr>
        <w:t xml:space="preserve">UN </w:t>
      </w:r>
      <w:r w:rsidR="00F14546" w:rsidRPr="006B7EBF">
        <w:rPr>
          <w:color w:val="000000"/>
        </w:rPr>
        <w:t xml:space="preserve">CRPD, which allows for individuals to bring complaints to the CRPD Committee. </w:t>
      </w:r>
    </w:p>
    <w:p w14:paraId="147BBF23" w14:textId="77777777" w:rsidR="001A1BD2" w:rsidRPr="001A1BD2" w:rsidRDefault="001A1BD2">
      <w:pPr>
        <w:autoSpaceDE w:val="0"/>
        <w:autoSpaceDN w:val="0"/>
        <w:adjustRightInd w:val="0"/>
        <w:rPr>
          <w:rFonts w:ascii="Times New Roman" w:hAnsi="Times New Roman" w:cs="Times New Roman"/>
          <w:color w:val="000000"/>
        </w:rPr>
      </w:pPr>
    </w:p>
    <w:p w14:paraId="3112B00C" w14:textId="7FEBCD41" w:rsidR="00172D74" w:rsidRDefault="00172D74" w:rsidP="00EA2D9C">
      <w:pPr>
        <w:pStyle w:val="Heading2"/>
        <w:jc w:val="both"/>
      </w:pPr>
      <w:bookmarkStart w:id="2" w:name="_Toc528662144"/>
      <w:r>
        <w:lastRenderedPageBreak/>
        <w:t>Recommendations</w:t>
      </w:r>
      <w:bookmarkEnd w:id="2"/>
    </w:p>
    <w:p w14:paraId="654947F6" w14:textId="77777777" w:rsidR="00172D74" w:rsidRPr="00172D74" w:rsidRDefault="00172D74" w:rsidP="00EA2D9C">
      <w:pPr>
        <w:jc w:val="both"/>
      </w:pPr>
    </w:p>
    <w:p w14:paraId="00DEBCD0" w14:textId="134A33BC" w:rsidR="009E51A7" w:rsidRPr="009E51A7" w:rsidRDefault="009E51A7" w:rsidP="00EA2D9C">
      <w:pPr>
        <w:autoSpaceDE w:val="0"/>
        <w:autoSpaceDN w:val="0"/>
        <w:adjustRightInd w:val="0"/>
        <w:jc w:val="both"/>
        <w:rPr>
          <w:b/>
          <w:bCs/>
          <w:color w:val="000000"/>
        </w:rPr>
      </w:pPr>
      <w:r w:rsidRPr="009E51A7">
        <w:rPr>
          <w:b/>
          <w:bCs/>
          <w:color w:val="000000"/>
        </w:rPr>
        <w:t>Employment</w:t>
      </w:r>
    </w:p>
    <w:p w14:paraId="36F7A3D9" w14:textId="77777777" w:rsidR="009E51A7" w:rsidRDefault="009E51A7" w:rsidP="00EA2D9C">
      <w:pPr>
        <w:autoSpaceDE w:val="0"/>
        <w:autoSpaceDN w:val="0"/>
        <w:adjustRightInd w:val="0"/>
        <w:jc w:val="both"/>
        <w:rPr>
          <w:color w:val="000000"/>
        </w:rPr>
      </w:pPr>
    </w:p>
    <w:p w14:paraId="1491BDFA" w14:textId="47756EED" w:rsidR="00EA2D9C" w:rsidRPr="009E51A7" w:rsidRDefault="009E51A7" w:rsidP="00EA2D9C">
      <w:pPr>
        <w:jc w:val="both"/>
        <w:rPr>
          <w:rFonts w:eastAsia="Times New Roman"/>
          <w:color w:val="000000"/>
          <w:szCs w:val="18"/>
          <w:lang w:eastAsia="cs-CZ"/>
        </w:rPr>
      </w:pPr>
      <w:r w:rsidRPr="009E51A7">
        <w:rPr>
          <w:rFonts w:eastAsia="Times New Roman"/>
          <w:color w:val="000000"/>
          <w:szCs w:val="18"/>
          <w:lang w:eastAsia="cs-CZ"/>
        </w:rPr>
        <w:t>Consider monitoring system which would generate relevant data on disability and employment. It would be also important to evaluate effectiveness of disability activation/work-rehabilitation measures.</w:t>
      </w:r>
    </w:p>
    <w:p w14:paraId="6BD9240C" w14:textId="36D13D0D" w:rsidR="009E51A7" w:rsidRDefault="0094132D" w:rsidP="00EA2D9C">
      <w:pPr>
        <w:pStyle w:val="ListParagraph"/>
        <w:numPr>
          <w:ilvl w:val="0"/>
          <w:numId w:val="39"/>
        </w:numPr>
        <w:autoSpaceDE w:val="0"/>
        <w:autoSpaceDN w:val="0"/>
        <w:adjustRightInd w:val="0"/>
        <w:ind w:left="567" w:hanging="567"/>
        <w:jc w:val="both"/>
      </w:pPr>
      <w:r>
        <w:t>There is an</w:t>
      </w:r>
      <w:r w:rsidRPr="00D600AD">
        <w:t xml:space="preserve"> abs</w:t>
      </w:r>
      <w:r>
        <w:t xml:space="preserve">ence of relevant national data on disability and employment </w:t>
      </w:r>
      <w:r w:rsidR="00A611FF">
        <w:t xml:space="preserve">which would </w:t>
      </w:r>
      <w:r w:rsidR="00A611FF">
        <w:rPr>
          <w:rFonts w:eastAsia="Times New Roman"/>
          <w:color w:val="000000"/>
          <w:szCs w:val="18"/>
          <w:lang w:eastAsia="cs-CZ"/>
        </w:rPr>
        <w:t>assist in evaluating the implementation and effectiveness</w:t>
      </w:r>
      <w:r w:rsidR="00A611FF" w:rsidRPr="00F14546">
        <w:rPr>
          <w:rFonts w:eastAsia="Times New Roman"/>
          <w:color w:val="000000"/>
          <w:szCs w:val="18"/>
          <w:lang w:eastAsia="cs-CZ"/>
        </w:rPr>
        <w:t xml:space="preserve"> of </w:t>
      </w:r>
      <w:r w:rsidR="00A611FF">
        <w:rPr>
          <w:rFonts w:eastAsia="Times New Roman"/>
          <w:color w:val="000000"/>
          <w:szCs w:val="18"/>
          <w:lang w:eastAsia="cs-CZ"/>
        </w:rPr>
        <w:t>activation/employment</w:t>
      </w:r>
      <w:r w:rsidR="00A611FF" w:rsidRPr="00F14546">
        <w:rPr>
          <w:rFonts w:eastAsia="Times New Roman"/>
          <w:color w:val="000000"/>
          <w:szCs w:val="18"/>
          <w:lang w:eastAsia="cs-CZ"/>
        </w:rPr>
        <w:t xml:space="preserve">-rehabilitation </w:t>
      </w:r>
      <w:r w:rsidR="00A611FF">
        <w:rPr>
          <w:rFonts w:eastAsia="Times New Roman"/>
          <w:color w:val="000000"/>
          <w:szCs w:val="18"/>
          <w:lang w:eastAsia="cs-CZ"/>
        </w:rPr>
        <w:t>measures targeted at</w:t>
      </w:r>
      <w:r w:rsidR="00A611FF" w:rsidRPr="00F14546">
        <w:rPr>
          <w:rFonts w:eastAsia="Times New Roman"/>
          <w:color w:val="000000"/>
          <w:szCs w:val="18"/>
          <w:lang w:eastAsia="cs-CZ"/>
        </w:rPr>
        <w:t xml:space="preserve"> disabled people</w:t>
      </w:r>
      <w:r>
        <w:t>.</w:t>
      </w:r>
      <w:r w:rsidR="00A611FF">
        <w:t xml:space="preserve"> </w:t>
      </w:r>
    </w:p>
    <w:p w14:paraId="0A0543D6" w14:textId="77777777" w:rsidR="00EA2D9C" w:rsidRDefault="00EA2D9C" w:rsidP="00EA2D9C">
      <w:pPr>
        <w:jc w:val="both"/>
        <w:rPr>
          <w:bCs/>
          <w:lang w:eastAsia="en-GB"/>
        </w:rPr>
      </w:pPr>
    </w:p>
    <w:p w14:paraId="2712E2B3" w14:textId="7F2D5AE7" w:rsidR="009E51A7" w:rsidRPr="009E51A7" w:rsidRDefault="009E51A7" w:rsidP="00EA2D9C">
      <w:pPr>
        <w:jc w:val="both"/>
        <w:rPr>
          <w:bCs/>
          <w:lang w:eastAsia="en-GB"/>
        </w:rPr>
      </w:pPr>
      <w:r w:rsidRPr="009E51A7">
        <w:rPr>
          <w:bCs/>
          <w:lang w:eastAsia="en-GB"/>
        </w:rPr>
        <w:t xml:space="preserve">Review the active employment policy instruments and practice of the Labour Office contact points to better facilitate employment opportunities for disabled people in the open labour market. </w:t>
      </w:r>
    </w:p>
    <w:p w14:paraId="1A8FC333" w14:textId="2D121DC3" w:rsidR="009E51A7" w:rsidRDefault="00390BA1" w:rsidP="00EA2D9C">
      <w:pPr>
        <w:pStyle w:val="ListParagraph"/>
        <w:numPr>
          <w:ilvl w:val="0"/>
          <w:numId w:val="39"/>
        </w:numPr>
        <w:autoSpaceDE w:val="0"/>
        <w:autoSpaceDN w:val="0"/>
        <w:adjustRightInd w:val="0"/>
        <w:ind w:left="567" w:hanging="567"/>
        <w:jc w:val="both"/>
      </w:pPr>
      <w:r>
        <w:rPr>
          <w:rFonts w:eastAsia="Times New Roman"/>
          <w:color w:val="000000"/>
          <w:lang w:eastAsia="cs-CZ"/>
        </w:rPr>
        <w:t>T</w:t>
      </w:r>
      <w:r w:rsidRPr="001A1BD2">
        <w:rPr>
          <w:rFonts w:eastAsia="Times New Roman"/>
          <w:color w:val="000000"/>
          <w:lang w:eastAsia="cs-CZ"/>
        </w:rPr>
        <w:t>he p</w:t>
      </w:r>
      <w:r w:rsidRPr="001A1BD2">
        <w:t xml:space="preserve">ublic employment services fall short in providing disabled jobseekers with person-centred and continuous support. There are gaps in effectiveness of active employment policy measures.  </w:t>
      </w:r>
    </w:p>
    <w:p w14:paraId="0475D316" w14:textId="77777777" w:rsidR="009E51A7" w:rsidRDefault="009E51A7" w:rsidP="00EA2D9C">
      <w:pPr>
        <w:autoSpaceDE w:val="0"/>
        <w:autoSpaceDN w:val="0"/>
        <w:adjustRightInd w:val="0"/>
        <w:jc w:val="both"/>
        <w:rPr>
          <w:color w:val="000000"/>
        </w:rPr>
      </w:pPr>
    </w:p>
    <w:p w14:paraId="244CCB73" w14:textId="1174CE5C" w:rsidR="009E51A7" w:rsidRPr="009E51A7" w:rsidRDefault="009E51A7" w:rsidP="00EA2D9C">
      <w:pPr>
        <w:autoSpaceDE w:val="0"/>
        <w:autoSpaceDN w:val="0"/>
        <w:adjustRightInd w:val="0"/>
        <w:jc w:val="both"/>
        <w:rPr>
          <w:b/>
          <w:bCs/>
          <w:color w:val="000000"/>
        </w:rPr>
      </w:pPr>
      <w:r w:rsidRPr="009E51A7">
        <w:rPr>
          <w:b/>
          <w:bCs/>
          <w:color w:val="000000"/>
        </w:rPr>
        <w:t>Education and skills</w:t>
      </w:r>
    </w:p>
    <w:p w14:paraId="51C9A38D" w14:textId="77777777" w:rsidR="009E51A7" w:rsidRDefault="009E51A7" w:rsidP="00EA2D9C">
      <w:pPr>
        <w:autoSpaceDE w:val="0"/>
        <w:autoSpaceDN w:val="0"/>
        <w:adjustRightInd w:val="0"/>
        <w:jc w:val="both"/>
        <w:rPr>
          <w:color w:val="000000"/>
        </w:rPr>
      </w:pPr>
    </w:p>
    <w:p w14:paraId="3238C8A0" w14:textId="07081C39" w:rsidR="00EA2D9C" w:rsidRPr="00EA2D9C" w:rsidRDefault="009E51A7" w:rsidP="00EA2D9C">
      <w:pPr>
        <w:jc w:val="both"/>
        <w:rPr>
          <w:rFonts w:eastAsia="Times New Roman"/>
          <w:color w:val="000000"/>
          <w:lang w:eastAsia="cs-CZ"/>
        </w:rPr>
      </w:pPr>
      <w:r>
        <w:t>F</w:t>
      </w:r>
      <w:r w:rsidRPr="001A1BD2">
        <w:t>u</w:t>
      </w:r>
      <w:r w:rsidRPr="009E51A7">
        <w:rPr>
          <w:rFonts w:eastAsia="Times New Roman"/>
          <w:color w:val="000000"/>
          <w:lang w:eastAsia="cs-CZ"/>
        </w:rPr>
        <w:t>nding for teaching assistants should be standardised and secured from the state budget on regular bases. Organise an appropriate amount of training courses for the future teaching assistants.</w:t>
      </w:r>
    </w:p>
    <w:p w14:paraId="12A4749D" w14:textId="4EC4E456" w:rsidR="00352B1C" w:rsidRPr="00352B1C" w:rsidRDefault="00352B1C" w:rsidP="00EA2D9C">
      <w:pPr>
        <w:pStyle w:val="ListParagraph"/>
        <w:numPr>
          <w:ilvl w:val="0"/>
          <w:numId w:val="39"/>
        </w:numPr>
        <w:ind w:left="567" w:hanging="567"/>
        <w:jc w:val="both"/>
        <w:rPr>
          <w:rFonts w:eastAsia="Times New Roman"/>
          <w:color w:val="000000"/>
          <w:lang w:eastAsia="cs-CZ"/>
        </w:rPr>
      </w:pPr>
      <w:r>
        <w:rPr>
          <w:rFonts w:eastAsia="Times New Roman"/>
          <w:color w:val="000000"/>
          <w:lang w:eastAsia="cs-CZ"/>
        </w:rPr>
        <w:t>T</w:t>
      </w:r>
      <w:r w:rsidRPr="00352B1C">
        <w:rPr>
          <w:rFonts w:eastAsia="Times New Roman"/>
          <w:color w:val="000000"/>
          <w:lang w:eastAsia="cs-CZ"/>
        </w:rPr>
        <w:t xml:space="preserve">he </w:t>
      </w:r>
      <w:r>
        <w:rPr>
          <w:rFonts w:eastAsia="Times New Roman"/>
          <w:color w:val="000000"/>
          <w:lang w:eastAsia="cs-CZ"/>
        </w:rPr>
        <w:t>a</w:t>
      </w:r>
      <w:r w:rsidRPr="00352B1C">
        <w:rPr>
          <w:rFonts w:eastAsia="Times New Roman"/>
          <w:color w:val="000000"/>
          <w:lang w:eastAsia="cs-CZ"/>
        </w:rPr>
        <w:t xml:space="preserve">dequate resourcing to cover salaries for teaching assistants and teaching aids </w:t>
      </w:r>
      <w:r>
        <w:rPr>
          <w:rFonts w:eastAsia="Times New Roman"/>
          <w:color w:val="000000"/>
          <w:lang w:eastAsia="cs-CZ"/>
        </w:rPr>
        <w:t xml:space="preserve">are the </w:t>
      </w:r>
      <w:r w:rsidRPr="00352B1C">
        <w:rPr>
          <w:rFonts w:eastAsia="Times New Roman"/>
          <w:color w:val="000000"/>
          <w:lang w:eastAsia="cs-CZ"/>
        </w:rPr>
        <w:t xml:space="preserve">major facilitators of </w:t>
      </w:r>
      <w:r>
        <w:rPr>
          <w:rFonts w:eastAsia="Times New Roman"/>
          <w:color w:val="000000"/>
          <w:lang w:eastAsia="cs-CZ"/>
        </w:rPr>
        <w:t xml:space="preserve">success in </w:t>
      </w:r>
      <w:r w:rsidRPr="00352B1C">
        <w:rPr>
          <w:rFonts w:eastAsia="Times New Roman"/>
          <w:color w:val="000000"/>
          <w:lang w:eastAsia="cs-CZ"/>
        </w:rPr>
        <w:t xml:space="preserve">inclusive education. </w:t>
      </w:r>
      <w:r>
        <w:rPr>
          <w:rFonts w:eastAsia="Times New Roman"/>
          <w:color w:val="000000"/>
          <w:lang w:eastAsia="cs-CZ"/>
        </w:rPr>
        <w:t xml:space="preserve"> </w:t>
      </w:r>
    </w:p>
    <w:p w14:paraId="11D3EF0C" w14:textId="77777777" w:rsidR="009E51A7" w:rsidRDefault="009E51A7" w:rsidP="00EA2D9C">
      <w:pPr>
        <w:autoSpaceDE w:val="0"/>
        <w:autoSpaceDN w:val="0"/>
        <w:adjustRightInd w:val="0"/>
        <w:jc w:val="both"/>
        <w:rPr>
          <w:color w:val="000000"/>
        </w:rPr>
      </w:pPr>
    </w:p>
    <w:p w14:paraId="4EFA1343" w14:textId="2D439716" w:rsidR="009E51A7" w:rsidRDefault="009E51A7" w:rsidP="00EA2D9C">
      <w:pPr>
        <w:autoSpaceDE w:val="0"/>
        <w:autoSpaceDN w:val="0"/>
        <w:adjustRightInd w:val="0"/>
        <w:jc w:val="both"/>
        <w:rPr>
          <w:b/>
          <w:bCs/>
          <w:color w:val="000000"/>
        </w:rPr>
      </w:pPr>
      <w:r w:rsidRPr="009E51A7">
        <w:rPr>
          <w:b/>
          <w:bCs/>
          <w:color w:val="000000"/>
        </w:rPr>
        <w:t>Poverty reduction and social inclusion</w:t>
      </w:r>
    </w:p>
    <w:p w14:paraId="51D72F3B" w14:textId="77777777" w:rsidR="009E51A7" w:rsidRDefault="009E51A7" w:rsidP="00EA2D9C">
      <w:pPr>
        <w:autoSpaceDE w:val="0"/>
        <w:autoSpaceDN w:val="0"/>
        <w:adjustRightInd w:val="0"/>
        <w:jc w:val="both"/>
        <w:rPr>
          <w:b/>
          <w:bCs/>
          <w:color w:val="000000"/>
        </w:rPr>
      </w:pPr>
    </w:p>
    <w:p w14:paraId="3C94300E" w14:textId="77777777" w:rsidR="009E51A7" w:rsidRDefault="009E51A7" w:rsidP="00EA2D9C">
      <w:pPr>
        <w:autoSpaceDE w:val="0"/>
        <w:autoSpaceDN w:val="0"/>
        <w:adjustRightInd w:val="0"/>
        <w:jc w:val="both"/>
      </w:pPr>
      <w:r>
        <w:t>Consider a</w:t>
      </w:r>
      <w:r w:rsidRPr="006F33F5">
        <w:t>mend</w:t>
      </w:r>
      <w:r>
        <w:t>ing</w:t>
      </w:r>
      <w:r w:rsidRPr="006F33F5">
        <w:t xml:space="preserve"> </w:t>
      </w:r>
      <w:r>
        <w:t>the current</w:t>
      </w:r>
      <w:r w:rsidRPr="006F33F5">
        <w:t xml:space="preserve"> </w:t>
      </w:r>
      <w:r>
        <w:t>system of financing social services to better reflect individual needs of service</w:t>
      </w:r>
      <w:r w:rsidRPr="006F33F5">
        <w:t xml:space="preserve"> </w:t>
      </w:r>
      <w:r>
        <w:t xml:space="preserve">users, </w:t>
      </w:r>
      <w:r w:rsidRPr="006F33F5">
        <w:t xml:space="preserve">and </w:t>
      </w:r>
      <w:r>
        <w:t>to assure it´s sustainability</w:t>
      </w:r>
      <w:r w:rsidRPr="006F33F5">
        <w:t>.</w:t>
      </w:r>
    </w:p>
    <w:p w14:paraId="1C047090" w14:textId="4C57B216" w:rsidR="009E51A7" w:rsidRDefault="003550D5" w:rsidP="00EA2D9C">
      <w:pPr>
        <w:pStyle w:val="ListParagraph"/>
        <w:numPr>
          <w:ilvl w:val="0"/>
          <w:numId w:val="39"/>
        </w:numPr>
        <w:autoSpaceDE w:val="0"/>
        <w:autoSpaceDN w:val="0"/>
        <w:adjustRightInd w:val="0"/>
        <w:ind w:left="567" w:hanging="567"/>
        <w:jc w:val="both"/>
      </w:pPr>
      <w:r>
        <w:t xml:space="preserve">The current system of financing social services has limitations in respecting the individual needs of service users, in supporting community-based services and in providing freedom of choice where to live.  </w:t>
      </w:r>
    </w:p>
    <w:p w14:paraId="7DD00CD7" w14:textId="77777777" w:rsidR="00EA2D9C" w:rsidRDefault="00EA2D9C" w:rsidP="00EA2D9C">
      <w:pPr>
        <w:jc w:val="both"/>
        <w:rPr>
          <w:rFonts w:eastAsia="Arial"/>
        </w:rPr>
      </w:pPr>
    </w:p>
    <w:p w14:paraId="5BB61CAF" w14:textId="5D2F6204" w:rsidR="009E51A7" w:rsidRPr="00A96153" w:rsidRDefault="009E51A7" w:rsidP="00EA2D9C">
      <w:pPr>
        <w:jc w:val="both"/>
        <w:rPr>
          <w:bCs/>
        </w:rPr>
      </w:pPr>
      <w:r>
        <w:rPr>
          <w:rFonts w:eastAsia="Arial"/>
        </w:rPr>
        <w:t>Consider compiling rules</w:t>
      </w:r>
      <w:r w:rsidRPr="006601E5">
        <w:rPr>
          <w:rFonts w:eastAsia="Arial"/>
        </w:rPr>
        <w:t xml:space="preserve"> for coordinated rehabilitation and instruments for its financing</w:t>
      </w:r>
      <w:r>
        <w:rPr>
          <w:rFonts w:eastAsia="Arial"/>
        </w:rPr>
        <w:t>.</w:t>
      </w:r>
    </w:p>
    <w:p w14:paraId="747754D7" w14:textId="6CAC76E6" w:rsidR="009E51A7" w:rsidRDefault="003550D5" w:rsidP="00EA2D9C">
      <w:pPr>
        <w:pStyle w:val="ListParagraph"/>
        <w:numPr>
          <w:ilvl w:val="0"/>
          <w:numId w:val="39"/>
        </w:numPr>
        <w:ind w:left="567" w:hanging="567"/>
        <w:jc w:val="both"/>
      </w:pPr>
      <w:r>
        <w:t>Support for persons with disabilities is fragmented into health care, education and training, vocational rehabilitation and social services.</w:t>
      </w:r>
    </w:p>
    <w:p w14:paraId="044DE06C" w14:textId="77777777" w:rsidR="00EA2D9C" w:rsidRDefault="00EA2D9C" w:rsidP="00EA2D9C">
      <w:pPr>
        <w:jc w:val="both"/>
      </w:pPr>
    </w:p>
    <w:p w14:paraId="1A62AD3A" w14:textId="318988B2" w:rsidR="009E51A7" w:rsidRDefault="009E51A7" w:rsidP="00EA2D9C">
      <w:pPr>
        <w:jc w:val="both"/>
      </w:pPr>
      <w:r>
        <w:t xml:space="preserve">Consider legislative measures to regulate </w:t>
      </w:r>
      <w:r w:rsidRPr="00620B77">
        <w:t xml:space="preserve">health and social services, </w:t>
      </w:r>
      <w:r>
        <w:t xml:space="preserve">and to </w:t>
      </w:r>
      <w:r w:rsidRPr="00620B77">
        <w:t>ensure adequate ma</w:t>
      </w:r>
      <w:r>
        <w:t>terial and technical standards, staffing, quality</w:t>
      </w:r>
      <w:r w:rsidRPr="00620B77">
        <w:t xml:space="preserve"> of care</w:t>
      </w:r>
      <w:r>
        <w:t>,</w:t>
      </w:r>
      <w:r w:rsidRPr="00620B77">
        <w:t xml:space="preserve"> and transparent financing.</w:t>
      </w:r>
    </w:p>
    <w:p w14:paraId="68B81FA2" w14:textId="77777777" w:rsidR="009E51A7" w:rsidRDefault="009E51A7" w:rsidP="00EA2D9C">
      <w:pPr>
        <w:autoSpaceDE w:val="0"/>
        <w:autoSpaceDN w:val="0"/>
        <w:adjustRightInd w:val="0"/>
        <w:jc w:val="both"/>
        <w:rPr>
          <w:color w:val="000000"/>
        </w:rPr>
      </w:pPr>
    </w:p>
    <w:p w14:paraId="5B416F8D" w14:textId="71A289F3" w:rsidR="00F14546" w:rsidRDefault="006F7988" w:rsidP="00EA2D9C">
      <w:pPr>
        <w:autoSpaceDE w:val="0"/>
        <w:autoSpaceDN w:val="0"/>
        <w:adjustRightInd w:val="0"/>
        <w:jc w:val="both"/>
      </w:pPr>
      <w:r w:rsidRPr="009E51A7">
        <w:rPr>
          <w:color w:val="000000"/>
        </w:rPr>
        <w:t>R</w:t>
      </w:r>
      <w:r w:rsidR="00F14546" w:rsidRPr="009E51A7">
        <w:rPr>
          <w:color w:val="000000"/>
        </w:rPr>
        <w:t xml:space="preserve">atify the Optional Protocol to the </w:t>
      </w:r>
      <w:r w:rsidR="009E51A7">
        <w:rPr>
          <w:color w:val="000000"/>
        </w:rPr>
        <w:t xml:space="preserve">UN </w:t>
      </w:r>
      <w:r w:rsidR="00F14546" w:rsidRPr="009E51A7">
        <w:rPr>
          <w:color w:val="000000"/>
        </w:rPr>
        <w:t xml:space="preserve">CRPD to allow for individuals to bring </w:t>
      </w:r>
      <w:r w:rsidR="009E51A7">
        <w:rPr>
          <w:color w:val="000000"/>
        </w:rPr>
        <w:t xml:space="preserve">unresolved </w:t>
      </w:r>
      <w:r w:rsidR="00F14546" w:rsidRPr="009E51A7">
        <w:rPr>
          <w:color w:val="000000"/>
        </w:rPr>
        <w:t xml:space="preserve">complaints </w:t>
      </w:r>
      <w:r w:rsidR="009E51A7">
        <w:rPr>
          <w:color w:val="000000"/>
        </w:rPr>
        <w:t xml:space="preserve">or rights violations </w:t>
      </w:r>
      <w:r w:rsidR="00F14546" w:rsidRPr="009E51A7">
        <w:rPr>
          <w:color w:val="000000"/>
        </w:rPr>
        <w:t xml:space="preserve">to the </w:t>
      </w:r>
      <w:r w:rsidR="009E51A7">
        <w:rPr>
          <w:color w:val="000000"/>
        </w:rPr>
        <w:t>attention of the UN</w:t>
      </w:r>
      <w:r w:rsidR="00F14546" w:rsidRPr="009E51A7">
        <w:rPr>
          <w:color w:val="000000"/>
        </w:rPr>
        <w:t xml:space="preserve"> Committee</w:t>
      </w:r>
      <w:r w:rsidR="00F14546">
        <w:t xml:space="preserve"> </w:t>
      </w:r>
    </w:p>
    <w:p w14:paraId="2E3FBC75" w14:textId="479F15B8" w:rsidR="009E51A7" w:rsidRDefault="00225A6D" w:rsidP="00EA2D9C">
      <w:pPr>
        <w:pStyle w:val="ListParagraph"/>
        <w:numPr>
          <w:ilvl w:val="0"/>
          <w:numId w:val="39"/>
        </w:numPr>
        <w:autoSpaceDE w:val="0"/>
        <w:autoSpaceDN w:val="0"/>
        <w:adjustRightInd w:val="0"/>
        <w:ind w:left="567" w:hanging="567"/>
        <w:jc w:val="both"/>
      </w:pPr>
      <w:r>
        <w:t xml:space="preserve">Up to date, the Czech has not ratified the </w:t>
      </w:r>
      <w:r w:rsidRPr="009E51A7">
        <w:rPr>
          <w:color w:val="000000"/>
        </w:rPr>
        <w:t>Optional Protocol</w:t>
      </w:r>
      <w:r>
        <w:rPr>
          <w:color w:val="000000"/>
        </w:rPr>
        <w:t xml:space="preserve">. </w:t>
      </w:r>
    </w:p>
    <w:p w14:paraId="354D38CA" w14:textId="77777777" w:rsidR="003E601D" w:rsidRDefault="003E601D">
      <w:pPr>
        <w:spacing w:after="200" w:line="276" w:lineRule="auto"/>
        <w:rPr>
          <w:rFonts w:eastAsiaTheme="majorEastAsia"/>
          <w:b/>
          <w:bCs/>
          <w:szCs w:val="26"/>
        </w:rPr>
      </w:pPr>
      <w:r>
        <w:br w:type="page"/>
      </w:r>
    </w:p>
    <w:p w14:paraId="286631CD" w14:textId="4E88EA74" w:rsidR="0071696A" w:rsidRDefault="00EC13E4">
      <w:pPr>
        <w:pStyle w:val="Heading2"/>
      </w:pPr>
      <w:bookmarkStart w:id="3" w:name="_Toc528662145"/>
      <w:r>
        <w:lastRenderedPageBreak/>
        <w:t>The EU2020 targets in relation to d</w:t>
      </w:r>
      <w:r w:rsidR="00742967">
        <w:t>isability s</w:t>
      </w:r>
      <w:r w:rsidR="003E601D">
        <w:t>trateg</w:t>
      </w:r>
      <w:r w:rsidR="00F8312E">
        <w:t>y</w:t>
      </w:r>
      <w:r w:rsidR="003E601D">
        <w:t xml:space="preserve"> </w:t>
      </w:r>
      <w:r>
        <w:t>and rights</w:t>
      </w:r>
      <w:bookmarkEnd w:id="3"/>
    </w:p>
    <w:p w14:paraId="73915259" w14:textId="77777777" w:rsidR="0071696A" w:rsidRDefault="0071696A"/>
    <w:p w14:paraId="08F0005D" w14:textId="315B3697" w:rsidR="0071696A" w:rsidRDefault="00011B4F" w:rsidP="00E75C0F">
      <w:pPr>
        <w:jc w:val="both"/>
      </w:pPr>
      <w:r>
        <w:t>As part of Member State commitment</w:t>
      </w:r>
      <w:r w:rsidR="00742967">
        <w:t>s</w:t>
      </w:r>
      <w:r>
        <w:t xml:space="preserve"> to </w:t>
      </w:r>
      <w:r w:rsidR="00742967">
        <w:t xml:space="preserve">the </w:t>
      </w:r>
      <w:r>
        <w:t>EU2020</w:t>
      </w:r>
      <w:r w:rsidR="00742967" w:rsidRPr="00742967">
        <w:t xml:space="preserve"> </w:t>
      </w:r>
      <w:r w:rsidR="00742967">
        <w:t>strategy</w:t>
      </w:r>
      <w:r>
        <w:t>, t</w:t>
      </w:r>
      <w:r w:rsidR="0071696A">
        <w:t xml:space="preserve">he targets shown in </w:t>
      </w:r>
      <w:r w:rsidR="0071696A">
        <w:fldChar w:fldCharType="begin"/>
      </w:r>
      <w:r w:rsidR="0071696A">
        <w:instrText xml:space="preserve"> REF _Ref512929707 \h </w:instrText>
      </w:r>
      <w:r w:rsidR="00895667">
        <w:instrText xml:space="preserve"> \* MERGEFORMAT </w:instrText>
      </w:r>
      <w:r w:rsidR="0071696A">
        <w:fldChar w:fldCharType="separate"/>
      </w:r>
      <w:r w:rsidR="00B25DFD">
        <w:t xml:space="preserve">Table </w:t>
      </w:r>
      <w:r w:rsidR="00B25DFD">
        <w:rPr>
          <w:noProof/>
        </w:rPr>
        <w:t>1</w:t>
      </w:r>
      <w:r w:rsidR="0071696A">
        <w:fldChar w:fldCharType="end"/>
      </w:r>
      <w:r w:rsidR="0071696A">
        <w:t xml:space="preserve"> were established for the general population</w:t>
      </w:r>
      <w:r w:rsidR="00F710A8">
        <w:t>. Disability policies are highly relevant</w:t>
      </w:r>
      <w:r w:rsidR="00E75C0F">
        <w:t>,</w:t>
      </w:r>
      <w:r w:rsidR="00F710A8">
        <w:t xml:space="preserve"> </w:t>
      </w:r>
      <w:r>
        <w:t xml:space="preserve">and it </w:t>
      </w:r>
      <w:r w:rsidR="00F710A8">
        <w:t xml:space="preserve">is unlikely </w:t>
      </w:r>
      <w:r w:rsidR="00742967">
        <w:t>that</w:t>
      </w:r>
      <w:r w:rsidR="00F710A8">
        <w:t xml:space="preserve"> </w:t>
      </w:r>
      <w:r w:rsidR="00742967">
        <w:t xml:space="preserve">the </w:t>
      </w:r>
      <w:r w:rsidR="00F710A8">
        <w:t xml:space="preserve">EU targets </w:t>
      </w:r>
      <w:r w:rsidR="00742967">
        <w:t>can</w:t>
      </w:r>
      <w:r w:rsidR="00F710A8">
        <w:t xml:space="preserve"> be achieved without actions and investments to mainstream disability equality in </w:t>
      </w:r>
      <w:r w:rsidR="00742967">
        <w:t>these three areas</w:t>
      </w:r>
      <w:r w:rsidR="00F710A8">
        <w:t xml:space="preserve">. This </w:t>
      </w:r>
      <w:r w:rsidR="00085CDF">
        <w:t xml:space="preserve">country </w:t>
      </w:r>
      <w:r w:rsidR="00F710A8">
        <w:t xml:space="preserve">report shows where the main disability equality gaps </w:t>
      </w:r>
      <w:r>
        <w:t>exist</w:t>
      </w:r>
      <w:r w:rsidR="00F710A8">
        <w:t xml:space="preserve">, at the national level. It assesses the </w:t>
      </w:r>
      <w:r w:rsidR="00742967">
        <w:t>main</w:t>
      </w:r>
      <w:r>
        <w:t xml:space="preserve"> </w:t>
      </w:r>
      <w:r w:rsidR="00F710A8">
        <w:t>policies in place to address these gaps</w:t>
      </w:r>
      <w:r w:rsidR="00E75C0F">
        <w:t xml:space="preserve"> </w:t>
      </w:r>
      <w:r w:rsidR="00085CDF">
        <w:t xml:space="preserve">and identifies </w:t>
      </w:r>
      <w:r w:rsidR="00742967">
        <w:t xml:space="preserve">the </w:t>
      </w:r>
      <w:r w:rsidR="00F710A8">
        <w:t xml:space="preserve">opportunities to </w:t>
      </w:r>
      <w:r>
        <w:t>mainstream</w:t>
      </w:r>
      <w:r w:rsidR="00F710A8">
        <w:t xml:space="preserve"> disability </w:t>
      </w:r>
      <w:r w:rsidR="00742967">
        <w:t>equality</w:t>
      </w:r>
      <w:r w:rsidR="00F710A8">
        <w:t xml:space="preserve"> i</w:t>
      </w:r>
      <w:r w:rsidR="00085CDF">
        <w:t>n the semester review process</w:t>
      </w:r>
      <w:r w:rsidR="00F710A8">
        <w:t xml:space="preserve">.    </w:t>
      </w:r>
    </w:p>
    <w:p w14:paraId="4B38107D" w14:textId="77777777" w:rsidR="0071696A" w:rsidRPr="00AF323E" w:rsidRDefault="0071696A" w:rsidP="00875F7E"/>
    <w:p w14:paraId="2911081C" w14:textId="77777777" w:rsidR="0071696A" w:rsidRDefault="0071696A" w:rsidP="00875F7E">
      <w:pPr>
        <w:pStyle w:val="Caption"/>
      </w:pPr>
      <w:bookmarkStart w:id="4" w:name="_Ref512929707"/>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w:t>
      </w:r>
      <w:r w:rsidR="00F01BC2">
        <w:rPr>
          <w:noProof/>
        </w:rPr>
        <w:fldChar w:fldCharType="end"/>
      </w:r>
      <w:bookmarkEnd w:id="4"/>
      <w:r>
        <w:t xml:space="preserve">: </w:t>
      </w:r>
      <w:r w:rsidRPr="00531AD4">
        <w:t xml:space="preserve">Europe 2020 and </w:t>
      </w:r>
      <w:r>
        <w:t>agreed n</w:t>
      </w:r>
      <w:r w:rsidRPr="00531AD4">
        <w:t>ational targets</w:t>
      </w:r>
      <w: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1"/>
        <w:gridCol w:w="3079"/>
      </w:tblGrid>
      <w:tr w:rsidR="0071696A" w:rsidRPr="0071696A" w14:paraId="4B810B75" w14:textId="77777777" w:rsidTr="00C20007">
        <w:tc>
          <w:tcPr>
            <w:tcW w:w="1667" w:type="pct"/>
            <w:shd w:val="clear" w:color="auto" w:fill="auto"/>
          </w:tcPr>
          <w:p w14:paraId="0D70E3AE" w14:textId="77777777" w:rsidR="0071696A" w:rsidRPr="0071696A" w:rsidRDefault="0071696A" w:rsidP="0030171B">
            <w:pPr>
              <w:rPr>
                <w:b/>
                <w:bCs/>
              </w:rPr>
            </w:pPr>
          </w:p>
        </w:tc>
        <w:tc>
          <w:tcPr>
            <w:tcW w:w="1667" w:type="pct"/>
            <w:shd w:val="clear" w:color="auto" w:fill="auto"/>
          </w:tcPr>
          <w:p w14:paraId="3EDB44F5" w14:textId="77777777" w:rsidR="0071696A" w:rsidRPr="0071696A" w:rsidRDefault="0071696A">
            <w:pPr>
              <w:rPr>
                <w:b/>
                <w:bCs/>
              </w:rPr>
            </w:pPr>
            <w:r w:rsidRPr="0071696A">
              <w:rPr>
                <w:b/>
                <w:bCs/>
              </w:rPr>
              <w:t>Europe 2020 targets</w:t>
            </w:r>
          </w:p>
        </w:tc>
        <w:tc>
          <w:tcPr>
            <w:tcW w:w="1666" w:type="pct"/>
            <w:shd w:val="clear" w:color="auto" w:fill="auto"/>
          </w:tcPr>
          <w:p w14:paraId="7CF12E10" w14:textId="77777777" w:rsidR="0071696A" w:rsidRPr="0071696A" w:rsidRDefault="0071696A">
            <w:pPr>
              <w:rPr>
                <w:b/>
                <w:bCs/>
              </w:rPr>
            </w:pPr>
            <w:r w:rsidRPr="0071696A">
              <w:rPr>
                <w:b/>
                <w:bCs/>
              </w:rPr>
              <w:t>National targets</w:t>
            </w:r>
            <w:r w:rsidRPr="00533013">
              <w:rPr>
                <w:rStyle w:val="FootnoteReference"/>
                <w:b/>
                <w:bCs/>
              </w:rPr>
              <w:footnoteReference w:id="1"/>
            </w:r>
          </w:p>
        </w:tc>
      </w:tr>
      <w:tr w:rsidR="0071696A" w:rsidRPr="009B335F" w14:paraId="60A7DD6A" w14:textId="77777777" w:rsidTr="00C20007">
        <w:tc>
          <w:tcPr>
            <w:tcW w:w="1667" w:type="pct"/>
            <w:shd w:val="clear" w:color="auto" w:fill="auto"/>
          </w:tcPr>
          <w:p w14:paraId="30A153B5" w14:textId="77777777" w:rsidR="0071696A" w:rsidRPr="0071696A" w:rsidRDefault="0071696A" w:rsidP="00875F7E">
            <w:pPr>
              <w:rPr>
                <w:b/>
                <w:bCs/>
              </w:rPr>
            </w:pPr>
            <w:r w:rsidRPr="0071696A">
              <w:rPr>
                <w:b/>
                <w:bCs/>
              </w:rPr>
              <w:t>Employment</w:t>
            </w:r>
          </w:p>
        </w:tc>
        <w:tc>
          <w:tcPr>
            <w:tcW w:w="1667" w:type="pct"/>
            <w:shd w:val="clear" w:color="auto" w:fill="auto"/>
          </w:tcPr>
          <w:p w14:paraId="3815162E" w14:textId="77777777" w:rsidR="0071696A" w:rsidRPr="009B335F" w:rsidRDefault="0071696A" w:rsidP="00875F7E">
            <w:r w:rsidRPr="009B335F">
              <w:t xml:space="preserve">75% of the </w:t>
            </w:r>
            <w:proofErr w:type="gramStart"/>
            <w:r w:rsidRPr="009B335F">
              <w:t>20-64 year-olds</w:t>
            </w:r>
            <w:proofErr w:type="gramEnd"/>
            <w:r w:rsidRPr="009B335F">
              <w:t xml:space="preserve"> to be employed</w:t>
            </w:r>
          </w:p>
        </w:tc>
        <w:tc>
          <w:tcPr>
            <w:tcW w:w="1666" w:type="pct"/>
            <w:shd w:val="clear" w:color="auto" w:fill="auto"/>
          </w:tcPr>
          <w:p w14:paraId="1C00AADF" w14:textId="25331FC1" w:rsidR="0071696A" w:rsidRPr="009B335F" w:rsidRDefault="00B530BF" w:rsidP="00B25DFD">
            <w:pPr>
              <w:jc w:val="right"/>
            </w:pPr>
            <w:r>
              <w:t>75%</w:t>
            </w:r>
          </w:p>
        </w:tc>
      </w:tr>
      <w:tr w:rsidR="0071696A" w:rsidRPr="009B335F" w14:paraId="0B1261B3" w14:textId="77777777" w:rsidTr="00C20007">
        <w:tc>
          <w:tcPr>
            <w:tcW w:w="1667" w:type="pct"/>
            <w:vMerge w:val="restart"/>
            <w:shd w:val="clear" w:color="auto" w:fill="auto"/>
          </w:tcPr>
          <w:p w14:paraId="22E61263" w14:textId="77777777" w:rsidR="0071696A" w:rsidRPr="0071696A" w:rsidRDefault="0071696A" w:rsidP="00875F7E">
            <w:pPr>
              <w:rPr>
                <w:b/>
                <w:bCs/>
              </w:rPr>
            </w:pPr>
            <w:r w:rsidRPr="0071696A">
              <w:rPr>
                <w:b/>
                <w:bCs/>
              </w:rPr>
              <w:t>Education</w:t>
            </w:r>
          </w:p>
        </w:tc>
        <w:tc>
          <w:tcPr>
            <w:tcW w:w="1667" w:type="pct"/>
            <w:shd w:val="clear" w:color="auto" w:fill="auto"/>
          </w:tcPr>
          <w:p w14:paraId="6F5C2280" w14:textId="77777777" w:rsidR="0071696A" w:rsidRPr="009B335F" w:rsidRDefault="0071696A" w:rsidP="00875F7E">
            <w:r w:rsidRPr="009B335F">
              <w:t>Reducing the rates of early school leaving below 10%</w:t>
            </w:r>
          </w:p>
        </w:tc>
        <w:tc>
          <w:tcPr>
            <w:tcW w:w="1666" w:type="pct"/>
            <w:shd w:val="clear" w:color="auto" w:fill="auto"/>
          </w:tcPr>
          <w:p w14:paraId="3CA46DBB" w14:textId="6FBAFDAB" w:rsidR="0071696A" w:rsidRPr="009B335F" w:rsidRDefault="00B530BF" w:rsidP="00B25DFD">
            <w:pPr>
              <w:jc w:val="right"/>
            </w:pPr>
            <w:r>
              <w:t>5.5%</w:t>
            </w:r>
          </w:p>
        </w:tc>
      </w:tr>
      <w:tr w:rsidR="0071696A" w:rsidRPr="009B335F" w14:paraId="2B3D74B2" w14:textId="77777777" w:rsidTr="00C20007">
        <w:tc>
          <w:tcPr>
            <w:tcW w:w="1667" w:type="pct"/>
            <w:vMerge/>
            <w:shd w:val="clear" w:color="auto" w:fill="auto"/>
          </w:tcPr>
          <w:p w14:paraId="5B3ABD6F" w14:textId="77777777" w:rsidR="0071696A" w:rsidRPr="0071696A" w:rsidRDefault="0071696A">
            <w:pPr>
              <w:rPr>
                <w:b/>
                <w:bCs/>
              </w:rPr>
            </w:pPr>
          </w:p>
        </w:tc>
        <w:tc>
          <w:tcPr>
            <w:tcW w:w="1667" w:type="pct"/>
            <w:shd w:val="clear" w:color="auto" w:fill="auto"/>
          </w:tcPr>
          <w:p w14:paraId="77822802" w14:textId="77777777" w:rsidR="0071696A" w:rsidRPr="009B335F" w:rsidRDefault="0071696A">
            <w:r w:rsidRPr="009B335F">
              <w:t>At least 40% of 30-34–year-olds completing third level education</w:t>
            </w:r>
          </w:p>
        </w:tc>
        <w:tc>
          <w:tcPr>
            <w:tcW w:w="1666" w:type="pct"/>
            <w:shd w:val="clear" w:color="auto" w:fill="auto"/>
          </w:tcPr>
          <w:p w14:paraId="5745C904" w14:textId="631BD985" w:rsidR="0071696A" w:rsidRPr="009B335F" w:rsidRDefault="00B530BF" w:rsidP="00B25DFD">
            <w:pPr>
              <w:jc w:val="right"/>
            </w:pPr>
            <w:r>
              <w:t>32%</w:t>
            </w:r>
          </w:p>
        </w:tc>
      </w:tr>
      <w:tr w:rsidR="0071696A" w:rsidRPr="009B335F" w14:paraId="21A42F17" w14:textId="77777777" w:rsidTr="00C20007">
        <w:tc>
          <w:tcPr>
            <w:tcW w:w="1667" w:type="pct"/>
            <w:shd w:val="clear" w:color="auto" w:fill="auto"/>
          </w:tcPr>
          <w:p w14:paraId="6FB2AD1F" w14:textId="77777777" w:rsidR="0071696A" w:rsidRPr="0071696A" w:rsidRDefault="0071696A" w:rsidP="00875F7E">
            <w:pPr>
              <w:rPr>
                <w:b/>
                <w:bCs/>
              </w:rPr>
            </w:pPr>
            <w:r w:rsidRPr="0071696A">
              <w:rPr>
                <w:b/>
                <w:bCs/>
              </w:rPr>
              <w:t>Fighting poverty and social exclusion</w:t>
            </w:r>
          </w:p>
        </w:tc>
        <w:tc>
          <w:tcPr>
            <w:tcW w:w="1667" w:type="pct"/>
            <w:shd w:val="clear" w:color="auto" w:fill="auto"/>
          </w:tcPr>
          <w:p w14:paraId="34A88402" w14:textId="77777777" w:rsidR="0071696A" w:rsidRPr="009B335F" w:rsidRDefault="0071696A" w:rsidP="00875F7E">
            <w:r w:rsidRPr="009B335F">
              <w:t>At least 20 million fewer people in or at risk of poverty and social exclusion</w:t>
            </w:r>
          </w:p>
        </w:tc>
        <w:tc>
          <w:tcPr>
            <w:tcW w:w="1666" w:type="pct"/>
            <w:shd w:val="clear" w:color="auto" w:fill="auto"/>
          </w:tcPr>
          <w:p w14:paraId="3FDD2368" w14:textId="38CED338" w:rsidR="0071696A" w:rsidRPr="009B335F" w:rsidRDefault="00B530BF" w:rsidP="0030171B">
            <w:r w:rsidRPr="00B530BF">
              <w:t>- 100 000 persons</w:t>
            </w:r>
          </w:p>
        </w:tc>
      </w:tr>
    </w:tbl>
    <w:p w14:paraId="7C8261F6" w14:textId="3B616CDB" w:rsidR="00954863" w:rsidRDefault="00954863" w:rsidP="00B25DFD"/>
    <w:p w14:paraId="05775EE9" w14:textId="5BC75368" w:rsidR="00005D28" w:rsidRDefault="004808BD" w:rsidP="00E75C0F">
      <w:pPr>
        <w:jc w:val="both"/>
      </w:pPr>
      <w:r>
        <w:t>The statistical annex to this country report provides c</w:t>
      </w:r>
      <w:r w:rsidR="00005D28">
        <w:t xml:space="preserve">omparative indicators of </w:t>
      </w:r>
      <w:r w:rsidR="00011B4F">
        <w:t xml:space="preserve">the </w:t>
      </w:r>
      <w:r w:rsidR="00005D28">
        <w:t xml:space="preserve">disability equality gaps </w:t>
      </w:r>
      <w:r w:rsidR="00011B4F">
        <w:t xml:space="preserve">existing </w:t>
      </w:r>
      <w:r w:rsidR="00005D28">
        <w:t xml:space="preserve">in these target areas (based on ANED’s </w:t>
      </w:r>
      <w:r>
        <w:t xml:space="preserve">annual </w:t>
      </w:r>
      <w:r w:rsidR="00005D28">
        <w:t>analysis of EU-SILC microdata since 2008).</w:t>
      </w:r>
      <w:r w:rsidR="00005D28">
        <w:rPr>
          <w:rStyle w:val="FootnoteReference"/>
        </w:rPr>
        <w:footnoteReference w:id="2"/>
      </w:r>
    </w:p>
    <w:p w14:paraId="51BA6E76" w14:textId="77777777" w:rsidR="003E601D" w:rsidRDefault="003E601D" w:rsidP="00E75C0F"/>
    <w:p w14:paraId="70427984" w14:textId="77777777" w:rsidR="00F5382C" w:rsidRDefault="00F5382C" w:rsidP="00E75C0F">
      <w:pPr>
        <w:pStyle w:val="Heading3"/>
        <w:jc w:val="both"/>
      </w:pPr>
      <w:bookmarkStart w:id="5" w:name="_Toc528662146"/>
      <w:r>
        <w:t>Recommendations from the UN CRPD Committee relevant to EU2020</w:t>
      </w:r>
      <w:bookmarkEnd w:id="5"/>
    </w:p>
    <w:p w14:paraId="5C8595A7" w14:textId="77777777" w:rsidR="00E75C0F" w:rsidRDefault="00E75C0F" w:rsidP="00E75C0F">
      <w:pPr>
        <w:pStyle w:val="Pa8"/>
        <w:spacing w:line="240" w:lineRule="auto"/>
        <w:jc w:val="both"/>
        <w:rPr>
          <w:rFonts w:ascii="Arial" w:hAnsi="Arial"/>
          <w:color w:val="000000"/>
        </w:rPr>
      </w:pPr>
    </w:p>
    <w:p w14:paraId="38971BB2" w14:textId="223B6B06" w:rsidR="000C6405" w:rsidRPr="006B7EBF" w:rsidRDefault="0020659A" w:rsidP="00E75C0F">
      <w:pPr>
        <w:pStyle w:val="Pa8"/>
        <w:spacing w:line="240" w:lineRule="auto"/>
        <w:jc w:val="both"/>
        <w:rPr>
          <w:rFonts w:ascii="Arial" w:hAnsi="Arial"/>
          <w:color w:val="000000"/>
        </w:rPr>
      </w:pPr>
      <w:r>
        <w:rPr>
          <w:rFonts w:ascii="Arial" w:hAnsi="Arial"/>
          <w:color w:val="000000"/>
        </w:rPr>
        <w:t xml:space="preserve">The UN </w:t>
      </w:r>
      <w:r w:rsidR="000B5480" w:rsidRPr="000C6405">
        <w:rPr>
          <w:rFonts w:ascii="Arial" w:hAnsi="Arial"/>
          <w:color w:val="000000"/>
        </w:rPr>
        <w:t>CRPD Committee published</w:t>
      </w:r>
      <w:r>
        <w:rPr>
          <w:rFonts w:ascii="Arial" w:hAnsi="Arial"/>
          <w:color w:val="000000"/>
        </w:rPr>
        <w:t xml:space="preserve"> its</w:t>
      </w:r>
      <w:r w:rsidR="000B5480" w:rsidRPr="000C6405">
        <w:rPr>
          <w:rFonts w:ascii="Arial" w:hAnsi="Arial"/>
          <w:color w:val="000000"/>
        </w:rPr>
        <w:t xml:space="preserve"> </w:t>
      </w:r>
      <w:r>
        <w:rPr>
          <w:rFonts w:ascii="Arial" w:hAnsi="Arial"/>
          <w:color w:val="000000"/>
        </w:rPr>
        <w:t>C</w:t>
      </w:r>
      <w:r w:rsidR="000B5480" w:rsidRPr="000C6405">
        <w:rPr>
          <w:rFonts w:ascii="Arial" w:hAnsi="Arial"/>
          <w:color w:val="000000"/>
        </w:rPr>
        <w:t xml:space="preserve">oncluding </w:t>
      </w:r>
      <w:r>
        <w:rPr>
          <w:rFonts w:ascii="Arial" w:hAnsi="Arial"/>
          <w:color w:val="000000"/>
        </w:rPr>
        <w:t>O</w:t>
      </w:r>
      <w:r w:rsidR="000B5480" w:rsidRPr="000C6405">
        <w:rPr>
          <w:rFonts w:ascii="Arial" w:hAnsi="Arial"/>
          <w:color w:val="000000"/>
        </w:rPr>
        <w:t>bservations on the initia</w:t>
      </w:r>
      <w:r w:rsidR="000C6405">
        <w:rPr>
          <w:rFonts w:ascii="Arial" w:hAnsi="Arial"/>
          <w:color w:val="000000"/>
        </w:rPr>
        <w:t xml:space="preserve">l reports of the Czech Republic </w:t>
      </w:r>
      <w:r>
        <w:rPr>
          <w:rFonts w:ascii="Arial" w:hAnsi="Arial"/>
          <w:color w:val="000000"/>
        </w:rPr>
        <w:t>in</w:t>
      </w:r>
      <w:r w:rsidRPr="000C6405">
        <w:rPr>
          <w:rFonts w:ascii="Arial" w:hAnsi="Arial"/>
          <w:color w:val="000000"/>
        </w:rPr>
        <w:t xml:space="preserve"> 2015</w:t>
      </w:r>
      <w:r w:rsidR="000C6405">
        <w:rPr>
          <w:rFonts w:ascii="Arial" w:hAnsi="Arial"/>
          <w:color w:val="000000"/>
        </w:rPr>
        <w:t xml:space="preserve">. </w:t>
      </w:r>
      <w:r>
        <w:rPr>
          <w:rFonts w:ascii="Arial" w:hAnsi="Arial"/>
          <w:color w:val="000000"/>
        </w:rPr>
        <w:t xml:space="preserve">Assessment of progress against these observations and specific recommendations need to be </w:t>
      </w:r>
      <w:proofErr w:type="gramStart"/>
      <w:r>
        <w:rPr>
          <w:rFonts w:ascii="Arial" w:hAnsi="Arial"/>
          <w:color w:val="000000"/>
        </w:rPr>
        <w:t>taken into account</w:t>
      </w:r>
      <w:proofErr w:type="gramEnd"/>
      <w:r>
        <w:rPr>
          <w:rFonts w:ascii="Arial" w:hAnsi="Arial"/>
          <w:color w:val="000000"/>
        </w:rPr>
        <w:t xml:space="preserve"> in the European Semester reviews, where relevant. </w:t>
      </w:r>
      <w:r w:rsidR="000C6405">
        <w:rPr>
          <w:rFonts w:ascii="Arial" w:hAnsi="Arial"/>
          <w:color w:val="000000"/>
        </w:rPr>
        <w:t xml:space="preserve">The </w:t>
      </w:r>
      <w:r w:rsidR="000C6405" w:rsidRPr="000C6405">
        <w:rPr>
          <w:rFonts w:ascii="Arial" w:hAnsi="Arial"/>
          <w:bCs/>
          <w:color w:val="000000"/>
        </w:rPr>
        <w:t xml:space="preserve">Czech Republic </w:t>
      </w:r>
      <w:r w:rsidR="000C6405" w:rsidRPr="000C6405">
        <w:rPr>
          <w:rFonts w:ascii="Arial" w:hAnsi="Arial"/>
          <w:color w:val="000000"/>
        </w:rPr>
        <w:t>has still not ratified the Optional Protocol to the</w:t>
      </w:r>
      <w:r w:rsidR="000C6405" w:rsidRPr="006B7EBF">
        <w:rPr>
          <w:rFonts w:ascii="Arial" w:hAnsi="Arial"/>
          <w:color w:val="000000"/>
        </w:rPr>
        <w:t xml:space="preserve"> CRPD</w:t>
      </w:r>
      <w:r w:rsidR="000C6405">
        <w:rPr>
          <w:rFonts w:ascii="Arial" w:hAnsi="Arial"/>
          <w:color w:val="000000"/>
        </w:rPr>
        <w:t xml:space="preserve">. </w:t>
      </w:r>
    </w:p>
    <w:p w14:paraId="180E3F54" w14:textId="77777777" w:rsidR="000C6405" w:rsidRDefault="000C6405" w:rsidP="00E75C0F">
      <w:pPr>
        <w:jc w:val="both"/>
        <w:rPr>
          <w:color w:val="000000"/>
        </w:rPr>
      </w:pPr>
    </w:p>
    <w:p w14:paraId="3A937069" w14:textId="64287E63" w:rsidR="0020659A" w:rsidRDefault="0020659A" w:rsidP="00E75C0F">
      <w:pPr>
        <w:jc w:val="both"/>
        <w:rPr>
          <w:color w:val="000000"/>
        </w:rPr>
      </w:pPr>
      <w:proofErr w:type="gramStart"/>
      <w:r>
        <w:rPr>
          <w:color w:val="000000"/>
        </w:rPr>
        <w:t>With regard to</w:t>
      </w:r>
      <w:proofErr w:type="gramEnd"/>
      <w:r>
        <w:rPr>
          <w:color w:val="000000"/>
        </w:rPr>
        <w:t xml:space="preserve"> </w:t>
      </w:r>
      <w:r w:rsidRPr="00B25DFD">
        <w:rPr>
          <w:b/>
          <w:color w:val="000000"/>
        </w:rPr>
        <w:t>employment</w:t>
      </w:r>
      <w:r>
        <w:rPr>
          <w:color w:val="000000"/>
        </w:rPr>
        <w:t xml:space="preserve"> (Article 27 CRPD) the Committee recommended that the Czech Republic:</w:t>
      </w:r>
    </w:p>
    <w:p w14:paraId="17DB409B" w14:textId="77777777" w:rsidR="0020659A" w:rsidRDefault="0020659A" w:rsidP="00E75C0F">
      <w:pPr>
        <w:jc w:val="both"/>
        <w:rPr>
          <w:color w:val="000000"/>
        </w:rPr>
      </w:pPr>
    </w:p>
    <w:p w14:paraId="0E58E18C" w14:textId="29001C1E" w:rsidR="0020659A" w:rsidRDefault="0020659A" w:rsidP="00E75C0F">
      <w:pPr>
        <w:ind w:left="567"/>
        <w:jc w:val="both"/>
        <w:rPr>
          <w:color w:val="000000"/>
        </w:rPr>
      </w:pPr>
      <w:r>
        <w:rPr>
          <w:color w:val="000000"/>
        </w:rPr>
        <w:t>…</w:t>
      </w:r>
      <w:r w:rsidRPr="0020659A">
        <w:rPr>
          <w:color w:val="000000"/>
        </w:rPr>
        <w:t xml:space="preserve"> ensure the same wage for all persons with disabilities, regardless of their disability classification. It also urges the State party to develop measures, intensify efforts and allocate </w:t>
      </w:r>
      <w:proofErr w:type="gramStart"/>
      <w:r w:rsidRPr="0020659A">
        <w:rPr>
          <w:color w:val="000000"/>
        </w:rPr>
        <w:t>sufficient</w:t>
      </w:r>
      <w:proofErr w:type="gramEnd"/>
      <w:r w:rsidRPr="0020659A">
        <w:rPr>
          <w:color w:val="000000"/>
        </w:rPr>
        <w:t xml:space="preserve"> resources to promoting the employment in the open labour market of persons with disabilities, especially women.</w:t>
      </w:r>
    </w:p>
    <w:p w14:paraId="04438258" w14:textId="77777777" w:rsidR="0020659A" w:rsidRDefault="0020659A" w:rsidP="00E75C0F">
      <w:pPr>
        <w:ind w:left="720"/>
        <w:jc w:val="both"/>
        <w:rPr>
          <w:color w:val="000000"/>
        </w:rPr>
      </w:pPr>
    </w:p>
    <w:p w14:paraId="2CEC1C79" w14:textId="21DD89C3" w:rsidR="0020659A" w:rsidRDefault="0020659A" w:rsidP="00E75C0F">
      <w:pPr>
        <w:jc w:val="both"/>
        <w:rPr>
          <w:color w:val="000000"/>
        </w:rPr>
      </w:pPr>
      <w:r>
        <w:rPr>
          <w:color w:val="000000"/>
        </w:rPr>
        <w:t xml:space="preserve">In relation to </w:t>
      </w:r>
      <w:r w:rsidRPr="00B25DFD">
        <w:rPr>
          <w:b/>
          <w:color w:val="000000"/>
        </w:rPr>
        <w:t>education</w:t>
      </w:r>
      <w:r>
        <w:rPr>
          <w:color w:val="000000"/>
        </w:rPr>
        <w:t xml:space="preserve"> (Article 24 CRPD) it recommended that the Czech Republic:</w:t>
      </w:r>
    </w:p>
    <w:p w14:paraId="0E0646F9" w14:textId="77777777" w:rsidR="0020659A" w:rsidRDefault="0020659A" w:rsidP="00E75C0F">
      <w:pPr>
        <w:jc w:val="both"/>
        <w:rPr>
          <w:color w:val="000000"/>
        </w:rPr>
      </w:pPr>
    </w:p>
    <w:p w14:paraId="4AFAC65F" w14:textId="11F575BC" w:rsidR="0020659A" w:rsidRDefault="0020659A" w:rsidP="00E75C0F">
      <w:pPr>
        <w:ind w:left="567"/>
        <w:jc w:val="both"/>
        <w:rPr>
          <w:color w:val="000000"/>
        </w:rPr>
      </w:pPr>
      <w:r>
        <w:rPr>
          <w:color w:val="000000"/>
        </w:rPr>
        <w:t>…</w:t>
      </w:r>
      <w:r w:rsidRPr="0020659A">
        <w:rPr>
          <w:color w:val="000000"/>
        </w:rPr>
        <w:t xml:space="preserve">implement the amended School Act, incorporate inclusive education as the guiding principle of the education system and ensure the admission of children with disabilities in mainstream schools, in line with article 24 of the Convention. The Committee calls upon the State party to intensify its efforts and to allocate </w:t>
      </w:r>
      <w:proofErr w:type="gramStart"/>
      <w:r w:rsidRPr="0020659A">
        <w:rPr>
          <w:color w:val="000000"/>
        </w:rPr>
        <w:t>sufficient</w:t>
      </w:r>
      <w:proofErr w:type="gramEnd"/>
      <w:r w:rsidRPr="0020659A">
        <w:rPr>
          <w:color w:val="000000"/>
        </w:rPr>
        <w:t xml:space="preserve"> financial and human resources for reasonable accommodations that will enable boys and girls with disabilities, including intellectual disabilities and autism, and deaf-blind children, to receive inclusive quality education.</w:t>
      </w:r>
    </w:p>
    <w:p w14:paraId="10B26905" w14:textId="77777777" w:rsidR="0020659A" w:rsidRDefault="0020659A" w:rsidP="00E75C0F">
      <w:pPr>
        <w:jc w:val="both"/>
        <w:rPr>
          <w:color w:val="000000"/>
        </w:rPr>
      </w:pPr>
    </w:p>
    <w:p w14:paraId="783708AB" w14:textId="70444C25" w:rsidR="0020659A" w:rsidRDefault="0020659A" w:rsidP="00E75C0F">
      <w:pPr>
        <w:jc w:val="both"/>
        <w:rPr>
          <w:color w:val="000000"/>
        </w:rPr>
      </w:pPr>
      <w:r>
        <w:rPr>
          <w:color w:val="000000"/>
        </w:rPr>
        <w:t xml:space="preserve">Concerning adequate </w:t>
      </w:r>
      <w:r w:rsidRPr="00B25DFD">
        <w:rPr>
          <w:b/>
          <w:color w:val="000000"/>
        </w:rPr>
        <w:t>standard of living and social protection</w:t>
      </w:r>
      <w:r>
        <w:rPr>
          <w:color w:val="000000"/>
        </w:rPr>
        <w:t xml:space="preserve"> (Article 28 CRPD) the UN Committee recommended that the Czech Republic: </w:t>
      </w:r>
    </w:p>
    <w:p w14:paraId="7254931C" w14:textId="77777777" w:rsidR="0020659A" w:rsidRDefault="0020659A" w:rsidP="00E75C0F">
      <w:pPr>
        <w:jc w:val="both"/>
        <w:rPr>
          <w:color w:val="000000"/>
        </w:rPr>
      </w:pPr>
    </w:p>
    <w:p w14:paraId="18DADA5A" w14:textId="36F99B2A" w:rsidR="0020659A" w:rsidRPr="0020659A" w:rsidRDefault="0020659A" w:rsidP="00E75C0F">
      <w:pPr>
        <w:ind w:left="567"/>
        <w:jc w:val="both"/>
        <w:rPr>
          <w:color w:val="000000"/>
        </w:rPr>
      </w:pPr>
      <w:r>
        <w:rPr>
          <w:color w:val="000000"/>
        </w:rPr>
        <w:t>…</w:t>
      </w:r>
      <w:r w:rsidRPr="0020659A">
        <w:rPr>
          <w:color w:val="000000"/>
        </w:rPr>
        <w:t>review the legislation on the provision of benefits to persons with disabilities, with genuine participation of persons with disabilities, to reintroduce the additional social allowance in order to bring the standard of living of families with children with disabilities above the subsistence level. The State party should also broaden the range of and facilitate access to assistive devices for children with disabilities, regardless of age.</w:t>
      </w:r>
    </w:p>
    <w:p w14:paraId="1EF77954" w14:textId="0ABAD70F" w:rsidR="0020659A" w:rsidRDefault="0020659A" w:rsidP="00E75C0F">
      <w:pPr>
        <w:ind w:left="567"/>
        <w:jc w:val="both"/>
        <w:rPr>
          <w:color w:val="000000"/>
        </w:rPr>
      </w:pPr>
      <w:r>
        <w:rPr>
          <w:color w:val="000000"/>
        </w:rPr>
        <w:t>…</w:t>
      </w:r>
      <w:r w:rsidRPr="0020659A">
        <w:rPr>
          <w:color w:val="000000"/>
        </w:rPr>
        <w:t>revise its legislation on disability pension beneficiaries and the newly established method of calculating the relevant period from the beginning of disability until the entitlement of retirement pensions, as it has resulted in the amount of the pension received by persons with disabilities at the third level being below the minimum subsistence level.</w:t>
      </w:r>
    </w:p>
    <w:p w14:paraId="3CD91139" w14:textId="77777777" w:rsidR="0020659A" w:rsidRDefault="0020659A" w:rsidP="00E75C0F">
      <w:pPr>
        <w:jc w:val="both"/>
        <w:rPr>
          <w:color w:val="000000"/>
        </w:rPr>
      </w:pPr>
    </w:p>
    <w:p w14:paraId="6E768914" w14:textId="216B8E91" w:rsidR="0020659A" w:rsidRDefault="0020659A" w:rsidP="00E75C0F">
      <w:pPr>
        <w:jc w:val="both"/>
        <w:rPr>
          <w:color w:val="000000"/>
        </w:rPr>
      </w:pPr>
      <w:r>
        <w:rPr>
          <w:color w:val="000000"/>
        </w:rPr>
        <w:t xml:space="preserve">The recommendation on living independently in the community (Article 19 CRPD) is also highly relevant to the European Semester concerns with </w:t>
      </w:r>
      <w:r w:rsidRPr="00B25DFD">
        <w:rPr>
          <w:b/>
          <w:color w:val="000000"/>
        </w:rPr>
        <w:t>long-term care</w:t>
      </w:r>
      <w:r>
        <w:rPr>
          <w:color w:val="000000"/>
        </w:rPr>
        <w:t>. In this respect, the Committee recommended that the Czech Republic:</w:t>
      </w:r>
    </w:p>
    <w:p w14:paraId="5475A825" w14:textId="77777777" w:rsidR="0020659A" w:rsidRPr="0020659A" w:rsidRDefault="0020659A" w:rsidP="00E75C0F">
      <w:pPr>
        <w:jc w:val="both"/>
        <w:rPr>
          <w:color w:val="000000"/>
        </w:rPr>
      </w:pPr>
    </w:p>
    <w:p w14:paraId="16F63BB3" w14:textId="5AAA70E0" w:rsidR="0020659A" w:rsidRPr="0020659A" w:rsidRDefault="0020659A" w:rsidP="00E75C0F">
      <w:pPr>
        <w:ind w:left="567"/>
        <w:jc w:val="both"/>
        <w:rPr>
          <w:color w:val="000000"/>
        </w:rPr>
      </w:pPr>
      <w:r>
        <w:rPr>
          <w:color w:val="000000"/>
        </w:rPr>
        <w:t>…</w:t>
      </w:r>
      <w:r w:rsidRPr="0020659A">
        <w:rPr>
          <w:color w:val="000000"/>
        </w:rPr>
        <w:t xml:space="preserve">step up the process of deinstitutionalization and to allocate </w:t>
      </w:r>
      <w:proofErr w:type="gramStart"/>
      <w:r w:rsidRPr="0020659A">
        <w:rPr>
          <w:color w:val="000000"/>
        </w:rPr>
        <w:t>sufficient</w:t>
      </w:r>
      <w:proofErr w:type="gramEnd"/>
      <w:r w:rsidRPr="0020659A">
        <w:rPr>
          <w:color w:val="000000"/>
        </w:rPr>
        <w:t xml:space="preserve"> resources for the development of support services in local communities that would enable all persons with disabilities, regardless of their impairments, gender or age, to choose freely with whom, where and under which living arrangements they will live, in line with the provisions of article 19 of the Convention.</w:t>
      </w:r>
    </w:p>
    <w:p w14:paraId="319C9747" w14:textId="63D356D0" w:rsidR="0020659A" w:rsidRDefault="0020659A" w:rsidP="00E75C0F">
      <w:pPr>
        <w:ind w:left="567"/>
        <w:jc w:val="both"/>
        <w:rPr>
          <w:color w:val="000000"/>
        </w:rPr>
      </w:pPr>
      <w:r>
        <w:rPr>
          <w:color w:val="000000"/>
        </w:rPr>
        <w:t>…</w:t>
      </w:r>
      <w:r w:rsidRPr="0020659A">
        <w:rPr>
          <w:color w:val="000000"/>
        </w:rPr>
        <w:t>take all measures necessary to ensure that policy processes for deinstitutionalization, including the development of the National Plan on Promoting Equal Opportunities for Persons with Disabilities 2015–2020, have a clear timeline and concrete benchmarks for implementation that are monitored effectively at regular intervals. In particular, the Committee urges the State party to abolish the placement of children under 3 years of age in institutionalized care as soon as possible.</w:t>
      </w:r>
    </w:p>
    <w:p w14:paraId="27738F61" w14:textId="77777777" w:rsidR="0020659A" w:rsidRDefault="0020659A" w:rsidP="00875F7E">
      <w:pPr>
        <w:rPr>
          <w:color w:val="000000"/>
        </w:rPr>
      </w:pPr>
    </w:p>
    <w:p w14:paraId="1750364F" w14:textId="77777777" w:rsidR="0020659A" w:rsidRPr="006B7EBF" w:rsidRDefault="0020659A" w:rsidP="00875F7E">
      <w:pPr>
        <w:rPr>
          <w:color w:val="000000"/>
        </w:rPr>
      </w:pPr>
    </w:p>
    <w:p w14:paraId="5D2F021C" w14:textId="6518675F" w:rsidR="00F5382C" w:rsidRPr="006B7EBF" w:rsidRDefault="005039F6" w:rsidP="00875F7E">
      <w:r>
        <w:rPr>
          <w:lang w:eastAsia="en-GB"/>
        </w:rPr>
        <w:t xml:space="preserve"> </w:t>
      </w:r>
    </w:p>
    <w:p w14:paraId="729C1F84" w14:textId="489A4381" w:rsidR="00D7027C" w:rsidRPr="006B7EBF" w:rsidRDefault="00D7027C" w:rsidP="0030171B"/>
    <w:p w14:paraId="558B85B3" w14:textId="77777777" w:rsidR="00F5382C" w:rsidRPr="00F5382C" w:rsidRDefault="00F5382C"/>
    <w:p w14:paraId="782C957B" w14:textId="67C00FC7" w:rsidR="003E601D" w:rsidRDefault="003E601D" w:rsidP="00E75C0F">
      <w:pPr>
        <w:pStyle w:val="Heading3"/>
        <w:jc w:val="both"/>
      </w:pPr>
      <w:bookmarkStart w:id="6" w:name="_Toc528662147"/>
      <w:r>
        <w:lastRenderedPageBreak/>
        <w:t>National disability strategies</w:t>
      </w:r>
      <w:r w:rsidR="00286315">
        <w:t>, plans</w:t>
      </w:r>
      <w:r>
        <w:t xml:space="preserve"> and targets relevant to EU2020</w:t>
      </w:r>
      <w:bookmarkEnd w:id="6"/>
    </w:p>
    <w:p w14:paraId="744288B1" w14:textId="77777777" w:rsidR="00E97382" w:rsidRDefault="00E97382" w:rsidP="00E75C0F">
      <w:pPr>
        <w:jc w:val="both"/>
        <w:rPr>
          <w:color w:val="000000"/>
          <w:szCs w:val="18"/>
        </w:rPr>
      </w:pPr>
    </w:p>
    <w:p w14:paraId="27DF545C" w14:textId="13AC18AD" w:rsidR="0061121E" w:rsidRPr="00682C8E" w:rsidRDefault="00416425" w:rsidP="00E75C0F">
      <w:pPr>
        <w:jc w:val="both"/>
        <w:rPr>
          <w:color w:val="000000"/>
          <w:szCs w:val="18"/>
        </w:rPr>
      </w:pPr>
      <w:r w:rsidRPr="00416425">
        <w:rPr>
          <w:color w:val="000000"/>
          <w:szCs w:val="18"/>
        </w:rPr>
        <w:t xml:space="preserve">The </w:t>
      </w:r>
      <w:r w:rsidR="00E97382" w:rsidRPr="00E97382">
        <w:rPr>
          <w:bCs/>
          <w:color w:val="000000"/>
          <w:szCs w:val="18"/>
        </w:rPr>
        <w:t>National Plan for the Promotion of Equal Opportunities for Persons with Disabilities</w:t>
      </w:r>
      <w:r w:rsidR="00E97382">
        <w:rPr>
          <w:bCs/>
          <w:color w:val="000000"/>
          <w:szCs w:val="18"/>
        </w:rPr>
        <w:t xml:space="preserve"> 2015-2020</w:t>
      </w:r>
      <w:r w:rsidR="0065240A">
        <w:rPr>
          <w:bCs/>
          <w:color w:val="000000"/>
          <w:szCs w:val="18"/>
        </w:rPr>
        <w:t xml:space="preserve"> (most recently revised in 2018)</w:t>
      </w:r>
      <w:r w:rsidR="005039F6">
        <w:rPr>
          <w:rStyle w:val="FootnoteReference"/>
          <w:color w:val="000000"/>
          <w:szCs w:val="18"/>
        </w:rPr>
        <w:footnoteReference w:id="3"/>
      </w:r>
      <w:r w:rsidR="006C20E9">
        <w:rPr>
          <w:color w:val="000000"/>
          <w:szCs w:val="18"/>
        </w:rPr>
        <w:t xml:space="preserve"> </w:t>
      </w:r>
      <w:r w:rsidRPr="00416425">
        <w:rPr>
          <w:color w:val="000000"/>
          <w:szCs w:val="18"/>
        </w:rPr>
        <w:t>sets out measures t</w:t>
      </w:r>
      <w:r>
        <w:rPr>
          <w:color w:val="000000"/>
          <w:szCs w:val="18"/>
        </w:rPr>
        <w:t xml:space="preserve">o implement the </w:t>
      </w:r>
      <w:r w:rsidR="00E97382">
        <w:rPr>
          <w:color w:val="000000"/>
          <w:szCs w:val="18"/>
        </w:rPr>
        <w:t>UN CRPD</w:t>
      </w:r>
      <w:r w:rsidR="00E97382" w:rsidRPr="00416425">
        <w:rPr>
          <w:color w:val="000000"/>
          <w:szCs w:val="18"/>
        </w:rPr>
        <w:t xml:space="preserve"> </w:t>
      </w:r>
      <w:r w:rsidRPr="00416425">
        <w:rPr>
          <w:color w:val="000000"/>
          <w:szCs w:val="18"/>
        </w:rPr>
        <w:t>across a wide range of policy areas</w:t>
      </w:r>
      <w:r>
        <w:rPr>
          <w:color w:val="000000"/>
          <w:szCs w:val="18"/>
        </w:rPr>
        <w:t>, including targets relevant to EU 2020</w:t>
      </w:r>
      <w:r w:rsidR="00682C8E">
        <w:rPr>
          <w:color w:val="000000"/>
          <w:szCs w:val="18"/>
        </w:rPr>
        <w:t xml:space="preserve">. </w:t>
      </w:r>
      <w:r w:rsidR="00803158" w:rsidRPr="00BB54E0">
        <w:t>However</w:t>
      </w:r>
      <w:r w:rsidRPr="00BB54E0">
        <w:t xml:space="preserve"> as reported previously</w:t>
      </w:r>
      <w:r w:rsidR="0061121E" w:rsidRPr="00BB54E0">
        <w:t xml:space="preserve">, these targets </w:t>
      </w:r>
      <w:r w:rsidR="00803158" w:rsidRPr="00BB54E0">
        <w:t xml:space="preserve">presented in the </w:t>
      </w:r>
      <w:r w:rsidR="00682C8E">
        <w:t xml:space="preserve">Disability </w:t>
      </w:r>
      <w:r w:rsidR="00803158" w:rsidRPr="00BB54E0">
        <w:t xml:space="preserve">Plan </w:t>
      </w:r>
      <w:r w:rsidR="0061121E" w:rsidRPr="00BB54E0">
        <w:t xml:space="preserve">are </w:t>
      </w:r>
      <w:r w:rsidR="00E97382" w:rsidRPr="00BB54E0">
        <w:t>general</w:t>
      </w:r>
      <w:r w:rsidR="00E97382">
        <w:t xml:space="preserve"> policy goals</w:t>
      </w:r>
      <w:r w:rsidR="00803158" w:rsidRPr="00BB54E0">
        <w:t xml:space="preserve"> </w:t>
      </w:r>
      <w:r w:rsidR="00E97382">
        <w:t>rather than quantifiable objectives</w:t>
      </w:r>
      <w:r w:rsidR="00803158" w:rsidRPr="00BB54E0">
        <w:t>.</w:t>
      </w:r>
      <w:r w:rsidR="0061121E">
        <w:t xml:space="preserve"> </w:t>
      </w:r>
      <w:r w:rsidR="0065240A">
        <w:t>It would be relevant to make linkages with this Plan in the European Semester reviews, where relevant.</w:t>
      </w:r>
    </w:p>
    <w:p w14:paraId="1B6AF716" w14:textId="77777777" w:rsidR="00682C8E" w:rsidRDefault="00682C8E" w:rsidP="00E75C0F">
      <w:pPr>
        <w:jc w:val="both"/>
      </w:pPr>
    </w:p>
    <w:p w14:paraId="2AAE5887" w14:textId="4C3B6476" w:rsidR="00803158" w:rsidRDefault="0061121E" w:rsidP="00E75C0F">
      <w:pPr>
        <w:jc w:val="both"/>
      </w:pPr>
      <w:r>
        <w:t>The</w:t>
      </w:r>
      <w:r w:rsidR="00682C8E">
        <w:t xml:space="preserve"> Disability </w:t>
      </w:r>
      <w:r>
        <w:t xml:space="preserve">Plan refers to </w:t>
      </w:r>
      <w:r w:rsidR="00E97382">
        <w:t xml:space="preserve">the </w:t>
      </w:r>
      <w:r>
        <w:t>necessity</w:t>
      </w:r>
      <w:r w:rsidRPr="0061121E">
        <w:t xml:space="preserve"> to have the most accurate statistical data on people </w:t>
      </w:r>
      <w:r w:rsidR="00682C8E">
        <w:t xml:space="preserve">with disabilities </w:t>
      </w:r>
      <w:r>
        <w:t xml:space="preserve">to </w:t>
      </w:r>
      <w:r w:rsidRPr="0061121E">
        <w:t xml:space="preserve">effectively formulate </w:t>
      </w:r>
      <w:r w:rsidR="00682C8E">
        <w:t>national strategies</w:t>
      </w:r>
      <w:r w:rsidRPr="0061121E">
        <w:t>. As part of the implementation of the</w:t>
      </w:r>
      <w:r>
        <w:t xml:space="preserve"> previous</w:t>
      </w:r>
      <w:r w:rsidRPr="0061121E">
        <w:t xml:space="preserve"> National Plan</w:t>
      </w:r>
      <w:r>
        <w:t>s</w:t>
      </w:r>
      <w:r w:rsidRPr="0061121E">
        <w:t>, two statistical surveys were carried out in 2007 and 2013</w:t>
      </w:r>
      <w:r w:rsidR="00682C8E">
        <w:t xml:space="preserve"> by the Czech Statistical Office</w:t>
      </w:r>
      <w:r w:rsidR="00E97382">
        <w:t>.</w:t>
      </w:r>
      <w:r w:rsidR="00682C8E">
        <w:rPr>
          <w:rStyle w:val="FootnoteReference"/>
        </w:rPr>
        <w:footnoteReference w:id="4"/>
      </w:r>
      <w:r w:rsidRPr="0061121E">
        <w:t xml:space="preserve"> </w:t>
      </w:r>
      <w:r>
        <w:t xml:space="preserve">However, the indicators and corresponding data </w:t>
      </w:r>
      <w:r w:rsidR="00682C8E">
        <w:t>provide</w:t>
      </w:r>
      <w:r>
        <w:t xml:space="preserve"> </w:t>
      </w:r>
      <w:r w:rsidR="00E97382">
        <w:t xml:space="preserve">only a </w:t>
      </w:r>
      <w:r>
        <w:t xml:space="preserve">limited picture </w:t>
      </w:r>
      <w:r w:rsidR="005039F6">
        <w:t>about</w:t>
      </w:r>
      <w:r>
        <w:t xml:space="preserve"> </w:t>
      </w:r>
      <w:r w:rsidR="00E97382">
        <w:t xml:space="preserve">the </w:t>
      </w:r>
      <w:r>
        <w:t>situation of people with disabilities in the targets relevant to EU 2020</w:t>
      </w:r>
      <w:r w:rsidR="00E97382">
        <w:t xml:space="preserve"> (this data is referred to in the statistical annex to this report, where relevant)</w:t>
      </w:r>
      <w:r>
        <w:t>. Next survey is expected to be carried out in 2019</w:t>
      </w:r>
      <w:r w:rsidRPr="0061121E">
        <w:t>.</w:t>
      </w:r>
      <w:r>
        <w:t xml:space="preserve"> </w:t>
      </w:r>
    </w:p>
    <w:p w14:paraId="190D2A5E" w14:textId="77777777" w:rsidR="0065240A" w:rsidRDefault="0065240A" w:rsidP="00E75C0F">
      <w:pPr>
        <w:jc w:val="both"/>
      </w:pPr>
    </w:p>
    <w:p w14:paraId="291F0E70" w14:textId="0B069561" w:rsidR="0065240A" w:rsidRDefault="0065240A" w:rsidP="00E75C0F">
      <w:pPr>
        <w:jc w:val="both"/>
      </w:pPr>
      <w:r>
        <w:t xml:space="preserve">Its </w:t>
      </w:r>
      <w:r w:rsidRPr="00B25DFD">
        <w:rPr>
          <w:b/>
        </w:rPr>
        <w:t>employment</w:t>
      </w:r>
      <w:r>
        <w:t xml:space="preserve"> objectives include reference to: </w:t>
      </w:r>
    </w:p>
    <w:p w14:paraId="169D66EF" w14:textId="77777777" w:rsidR="00E75C0F" w:rsidRDefault="00E75C0F" w:rsidP="00E75C0F">
      <w:pPr>
        <w:jc w:val="both"/>
      </w:pPr>
    </w:p>
    <w:p w14:paraId="277995F3" w14:textId="3FF11D1C" w:rsidR="0065240A" w:rsidRPr="00B535D9" w:rsidRDefault="0065240A" w:rsidP="00E75C0F">
      <w:pPr>
        <w:pStyle w:val="ListParagraph"/>
        <w:numPr>
          <w:ilvl w:val="0"/>
          <w:numId w:val="36"/>
        </w:numPr>
        <w:ind w:left="567" w:hanging="567"/>
        <w:jc w:val="both"/>
      </w:pPr>
      <w:r w:rsidRPr="000E3D00">
        <w:t xml:space="preserve">Effectively support the employment of people with disabilities in </w:t>
      </w:r>
      <w:r w:rsidR="002C6959">
        <w:t xml:space="preserve">sheltered employment </w:t>
      </w:r>
      <w:r w:rsidR="000E3D00" w:rsidRPr="00B25DFD">
        <w:t>same as</w:t>
      </w:r>
      <w:r w:rsidRPr="000E3D00">
        <w:t xml:space="preserve"> in the open labour</w:t>
      </w:r>
      <w:r w:rsidRPr="00B535D9">
        <w:t xml:space="preserve"> market</w:t>
      </w:r>
      <w:r w:rsidR="00E75C0F">
        <w:t>;</w:t>
      </w:r>
    </w:p>
    <w:p w14:paraId="2FB931D3" w14:textId="1FF6911E" w:rsidR="0065240A" w:rsidRDefault="0065240A" w:rsidP="00E75C0F">
      <w:pPr>
        <w:pStyle w:val="ListParagraph"/>
        <w:numPr>
          <w:ilvl w:val="0"/>
          <w:numId w:val="36"/>
        </w:numPr>
        <w:ind w:left="567" w:hanging="567"/>
        <w:jc w:val="both"/>
      </w:pPr>
      <w:r w:rsidRPr="0065240A">
        <w:t>To employ people with disabilities in the public sector</w:t>
      </w:r>
      <w:r w:rsidR="00E75C0F">
        <w:t>;</w:t>
      </w:r>
    </w:p>
    <w:p w14:paraId="2E24EEB9" w14:textId="5129EC7C" w:rsidR="0065240A" w:rsidRDefault="0065240A" w:rsidP="00E75C0F">
      <w:pPr>
        <w:pStyle w:val="ListParagraph"/>
        <w:numPr>
          <w:ilvl w:val="0"/>
          <w:numId w:val="36"/>
        </w:numPr>
        <w:ind w:left="567" w:hanging="567"/>
        <w:jc w:val="both"/>
      </w:pPr>
      <w:r w:rsidRPr="0065240A">
        <w:t xml:space="preserve">To promote the occupational rehabilitation of people with </w:t>
      </w:r>
      <w:r>
        <w:t>d</w:t>
      </w:r>
      <w:r w:rsidRPr="0065240A">
        <w:t>isabilities and programs aimed at maintaining a job and returning to work</w:t>
      </w:r>
      <w:r w:rsidR="00E75C0F">
        <w:t>.</w:t>
      </w:r>
    </w:p>
    <w:p w14:paraId="2A918451" w14:textId="77777777" w:rsidR="0065240A" w:rsidRDefault="0065240A" w:rsidP="00E75C0F">
      <w:pPr>
        <w:jc w:val="both"/>
      </w:pPr>
    </w:p>
    <w:p w14:paraId="7387102F" w14:textId="2605B84E" w:rsidR="0065240A" w:rsidRDefault="0065240A" w:rsidP="00E75C0F">
      <w:pPr>
        <w:jc w:val="both"/>
      </w:pPr>
      <w:r>
        <w:t xml:space="preserve">Its </w:t>
      </w:r>
      <w:r w:rsidRPr="00B25DFD">
        <w:rPr>
          <w:b/>
        </w:rPr>
        <w:t>education</w:t>
      </w:r>
      <w:r>
        <w:t xml:space="preserve"> objectives include:</w:t>
      </w:r>
    </w:p>
    <w:p w14:paraId="447C44E1" w14:textId="77777777" w:rsidR="00E75C0F" w:rsidRDefault="00E75C0F" w:rsidP="00E75C0F">
      <w:pPr>
        <w:jc w:val="both"/>
      </w:pPr>
    </w:p>
    <w:p w14:paraId="1F30B725" w14:textId="2D2DED5E" w:rsidR="0065240A" w:rsidRDefault="0065240A" w:rsidP="006740A5">
      <w:pPr>
        <w:pStyle w:val="ListParagraph"/>
        <w:numPr>
          <w:ilvl w:val="0"/>
          <w:numId w:val="36"/>
        </w:numPr>
        <w:ind w:left="567" w:hanging="567"/>
        <w:jc w:val="both"/>
      </w:pPr>
      <w:r w:rsidRPr="0065240A">
        <w:t>To continue with the inclusive education system</w:t>
      </w:r>
      <w:r w:rsidR="006740A5">
        <w:t>;</w:t>
      </w:r>
    </w:p>
    <w:p w14:paraId="2AEECE60" w14:textId="55F8077D" w:rsidR="0065240A" w:rsidRDefault="0065240A" w:rsidP="006740A5">
      <w:pPr>
        <w:pStyle w:val="ListParagraph"/>
        <w:numPr>
          <w:ilvl w:val="0"/>
          <w:numId w:val="36"/>
        </w:numPr>
        <w:ind w:left="567" w:hanging="567"/>
        <w:jc w:val="both"/>
      </w:pPr>
      <w:r w:rsidRPr="0065240A">
        <w:t>The form of education should be chosen in accordance with the best interests of the child, pupil</w:t>
      </w:r>
      <w:r>
        <w:t xml:space="preserve"> or </w:t>
      </w:r>
      <w:r w:rsidRPr="0065240A">
        <w:t>student</w:t>
      </w:r>
      <w:r w:rsidR="006740A5">
        <w:t>;</w:t>
      </w:r>
    </w:p>
    <w:p w14:paraId="67402AF1" w14:textId="2744262C" w:rsidR="0065240A" w:rsidRDefault="0065240A" w:rsidP="006740A5">
      <w:pPr>
        <w:pStyle w:val="ListParagraph"/>
        <w:numPr>
          <w:ilvl w:val="0"/>
          <w:numId w:val="36"/>
        </w:numPr>
        <w:ind w:left="567" w:hanging="567"/>
        <w:jc w:val="both"/>
      </w:pPr>
      <w:r w:rsidRPr="0065240A">
        <w:t>Provide support for people with disabilities in education, at all levels of education, including lifelong learning</w:t>
      </w:r>
      <w:r w:rsidR="006740A5">
        <w:t>.</w:t>
      </w:r>
    </w:p>
    <w:p w14:paraId="67E66D42" w14:textId="77777777" w:rsidR="0065240A" w:rsidRDefault="0065240A" w:rsidP="00E75C0F">
      <w:pPr>
        <w:jc w:val="both"/>
      </w:pPr>
    </w:p>
    <w:p w14:paraId="3E57BDE5" w14:textId="4256F803" w:rsidR="0065240A" w:rsidRDefault="0065240A" w:rsidP="00E75C0F">
      <w:pPr>
        <w:jc w:val="both"/>
      </w:pPr>
      <w:r>
        <w:t xml:space="preserve">Its objectives on </w:t>
      </w:r>
      <w:r w:rsidRPr="00B25DFD">
        <w:rPr>
          <w:b/>
        </w:rPr>
        <w:t>social security and social protection</w:t>
      </w:r>
      <w:r>
        <w:t xml:space="preserve"> are:</w:t>
      </w:r>
    </w:p>
    <w:p w14:paraId="1D756442" w14:textId="77777777" w:rsidR="006740A5" w:rsidRDefault="006740A5" w:rsidP="00E75C0F">
      <w:pPr>
        <w:jc w:val="both"/>
      </w:pPr>
    </w:p>
    <w:p w14:paraId="3FEEF9E4" w14:textId="3B93F14C" w:rsidR="0065240A" w:rsidRDefault="0065240A" w:rsidP="006740A5">
      <w:pPr>
        <w:pStyle w:val="ListParagraph"/>
        <w:numPr>
          <w:ilvl w:val="0"/>
          <w:numId w:val="37"/>
        </w:numPr>
        <w:ind w:left="567" w:hanging="567"/>
        <w:jc w:val="both"/>
      </w:pPr>
      <w:r w:rsidRPr="0065240A">
        <w:t>To improve the health status assessment system for social security and social protection purposes</w:t>
      </w:r>
      <w:r w:rsidR="006740A5">
        <w:t>;</w:t>
      </w:r>
    </w:p>
    <w:p w14:paraId="66067AA9" w14:textId="359CC8BA" w:rsidR="0065240A" w:rsidRDefault="0065240A" w:rsidP="006740A5">
      <w:pPr>
        <w:pStyle w:val="ListParagraph"/>
        <w:numPr>
          <w:ilvl w:val="0"/>
          <w:numId w:val="37"/>
        </w:numPr>
        <w:ind w:left="567" w:hanging="567"/>
        <w:jc w:val="both"/>
      </w:pPr>
      <w:r w:rsidRPr="0065240A">
        <w:t>To support carers for people with disabilities</w:t>
      </w:r>
      <w:r w:rsidR="006740A5">
        <w:t>.</w:t>
      </w:r>
    </w:p>
    <w:p w14:paraId="5E060F9C" w14:textId="77777777" w:rsidR="0061121E" w:rsidRPr="006601E5" w:rsidRDefault="0061121E" w:rsidP="00E75C0F">
      <w:pPr>
        <w:jc w:val="both"/>
      </w:pPr>
    </w:p>
    <w:p w14:paraId="54360E1C" w14:textId="4DC4C098" w:rsidR="00D12449" w:rsidRDefault="0065240A" w:rsidP="00E75C0F">
      <w:pPr>
        <w:jc w:val="both"/>
        <w:rPr>
          <w:rFonts w:eastAsia="Arial"/>
        </w:rPr>
      </w:pPr>
      <w:r>
        <w:rPr>
          <w:rFonts w:eastAsia="Arial"/>
        </w:rPr>
        <w:lastRenderedPageBreak/>
        <w:t>The o</w:t>
      </w:r>
      <w:r w:rsidR="00682C8E">
        <w:rPr>
          <w:rFonts w:eastAsia="Arial"/>
        </w:rPr>
        <w:t>ther disability relevant document</w:t>
      </w:r>
      <w:r w:rsidR="00D12449">
        <w:rPr>
          <w:rFonts w:eastAsia="Arial"/>
        </w:rPr>
        <w:t xml:space="preserve"> </w:t>
      </w:r>
      <w:r w:rsidR="00D12449" w:rsidRPr="00D12449">
        <w:rPr>
          <w:rFonts w:eastAsia="Arial"/>
        </w:rPr>
        <w:t>is the Social Inclusion Strategy 2014-2020</w:t>
      </w:r>
      <w:r>
        <w:rPr>
          <w:rFonts w:eastAsia="Arial"/>
        </w:rPr>
        <w:t>.</w:t>
      </w:r>
      <w:r w:rsidR="00D12449" w:rsidRPr="00D12449">
        <w:rPr>
          <w:rStyle w:val="FootnoteReference"/>
          <w:rFonts w:eastAsia="Arial"/>
        </w:rPr>
        <w:footnoteReference w:id="5"/>
      </w:r>
      <w:r w:rsidR="00D12449" w:rsidRPr="006601E5">
        <w:rPr>
          <w:rFonts w:eastAsia="Arial"/>
        </w:rPr>
        <w:t xml:space="preserve"> </w:t>
      </w:r>
      <w:r w:rsidR="00D12449">
        <w:rPr>
          <w:rFonts w:eastAsia="Arial"/>
        </w:rPr>
        <w:t>T</w:t>
      </w:r>
      <w:r w:rsidR="00D12449" w:rsidRPr="006601E5">
        <w:rPr>
          <w:rFonts w:eastAsia="Arial"/>
        </w:rPr>
        <w:t>h</w:t>
      </w:r>
      <w:r>
        <w:rPr>
          <w:rFonts w:eastAsia="Arial"/>
        </w:rPr>
        <w:t>is</w:t>
      </w:r>
      <w:r w:rsidR="00D12449" w:rsidRPr="006601E5">
        <w:rPr>
          <w:rFonts w:eastAsia="Arial"/>
        </w:rPr>
        <w:t xml:space="preserve"> </w:t>
      </w:r>
      <w:r w:rsidR="00D12449">
        <w:rPr>
          <w:rFonts w:eastAsia="Arial"/>
        </w:rPr>
        <w:t>Strategy</w:t>
      </w:r>
      <w:r w:rsidR="00D12449" w:rsidRPr="006601E5">
        <w:rPr>
          <w:rFonts w:eastAsia="Arial"/>
          <w:b/>
        </w:rPr>
        <w:t xml:space="preserve"> </w:t>
      </w:r>
      <w:r w:rsidR="00D12449" w:rsidRPr="006601E5">
        <w:rPr>
          <w:rFonts w:eastAsia="Arial"/>
        </w:rPr>
        <w:t>is an intentional document on social inclusion of socially excluded persons or persons at risk of social exclusion</w:t>
      </w:r>
      <w:r w:rsidR="00D12449">
        <w:rPr>
          <w:rFonts w:eastAsia="Arial"/>
        </w:rPr>
        <w:t>, including persons with disabilities</w:t>
      </w:r>
      <w:r w:rsidR="00D12449" w:rsidRPr="006601E5">
        <w:rPr>
          <w:rFonts w:eastAsia="Arial"/>
        </w:rPr>
        <w:t xml:space="preserve">. The purpose of the strategy is to reduce poverty and decrease the level of social exclusion. </w:t>
      </w:r>
      <w:r w:rsidR="00D12449" w:rsidRPr="006601E5">
        <w:t xml:space="preserve">The Strategy indicates </w:t>
      </w:r>
      <w:r w:rsidR="000653DC">
        <w:t>amongst others necessity</w:t>
      </w:r>
      <w:r w:rsidR="00D12449" w:rsidRPr="006601E5">
        <w:t xml:space="preserve"> to focus </w:t>
      </w:r>
      <w:r w:rsidR="00D12449" w:rsidRPr="006601E5">
        <w:rPr>
          <w:bCs/>
        </w:rPr>
        <w:t xml:space="preserve">on vulnerable groups </w:t>
      </w:r>
      <w:r w:rsidR="00D12449">
        <w:rPr>
          <w:bCs/>
        </w:rPr>
        <w:t>i</w:t>
      </w:r>
      <w:r w:rsidR="00D12449" w:rsidRPr="006601E5">
        <w:rPr>
          <w:bCs/>
        </w:rPr>
        <w:t xml:space="preserve">n the labour </w:t>
      </w:r>
      <w:r w:rsidR="00D12449">
        <w:rPr>
          <w:bCs/>
        </w:rPr>
        <w:t xml:space="preserve">market. </w:t>
      </w:r>
      <w:r w:rsidR="000653DC">
        <w:rPr>
          <w:bCs/>
        </w:rPr>
        <w:t>However, like</w:t>
      </w:r>
      <w:r w:rsidR="005039F6">
        <w:rPr>
          <w:bCs/>
        </w:rPr>
        <w:t xml:space="preserve"> the </w:t>
      </w:r>
      <w:r w:rsidR="00D12449">
        <w:rPr>
          <w:bCs/>
        </w:rPr>
        <w:t xml:space="preserve">Disability Plan, </w:t>
      </w:r>
      <w:r w:rsidR="00D12449" w:rsidRPr="006601E5">
        <w:rPr>
          <w:rFonts w:eastAsia="Arial"/>
        </w:rPr>
        <w:t xml:space="preserve">The Strategy does not include quantifiable disability related targets in the areas of employment, education, fighting poverty and social inclusion. </w:t>
      </w:r>
    </w:p>
    <w:p w14:paraId="50D089C6" w14:textId="77777777" w:rsidR="000653DC" w:rsidRDefault="000653DC" w:rsidP="00E75C0F">
      <w:pPr>
        <w:jc w:val="both"/>
      </w:pPr>
    </w:p>
    <w:p w14:paraId="5F7917A9" w14:textId="101D5DD7" w:rsidR="00BB54E0" w:rsidRPr="006601E5" w:rsidRDefault="005039F6" w:rsidP="00E75C0F">
      <w:pPr>
        <w:jc w:val="both"/>
      </w:pPr>
      <w:r>
        <w:t xml:space="preserve">The third </w:t>
      </w:r>
      <w:r w:rsidR="000653DC">
        <w:t>relevant document is t</w:t>
      </w:r>
      <w:r w:rsidR="00BB54E0">
        <w:t>he National Strat</w:t>
      </w:r>
      <w:r w:rsidR="000653DC">
        <w:t>egy of Social Services 2016-2025</w:t>
      </w:r>
      <w:r w:rsidR="00E25CBA">
        <w:t>,</w:t>
      </w:r>
      <w:r w:rsidR="00BB54E0">
        <w:rPr>
          <w:rStyle w:val="FootnoteReference"/>
        </w:rPr>
        <w:footnoteReference w:id="6"/>
      </w:r>
      <w:r w:rsidR="000653DC">
        <w:t xml:space="preserve"> which </w:t>
      </w:r>
      <w:r w:rsidR="00BB54E0">
        <w:t>refers to deinstitutionalisation. One of rather general targets is to e</w:t>
      </w:r>
      <w:r w:rsidR="00BB54E0" w:rsidRPr="00BB54E0">
        <w:t xml:space="preserve">nsure transition from the institutional model of care </w:t>
      </w:r>
      <w:r w:rsidR="000653DC">
        <w:t xml:space="preserve">to support disabled people and other service users </w:t>
      </w:r>
      <w:r w:rsidR="00BB54E0" w:rsidRPr="00BB54E0">
        <w:t>in the</w:t>
      </w:r>
      <w:r w:rsidR="000653DC">
        <w:t>ir</w:t>
      </w:r>
      <w:r w:rsidR="00BB54E0" w:rsidRPr="00BB54E0">
        <w:t xml:space="preserve"> natural environment</w:t>
      </w:r>
      <w:r w:rsidR="000653DC">
        <w:t xml:space="preserve"> (community-based services)</w:t>
      </w:r>
      <w:r w:rsidR="00BB54E0">
        <w:t xml:space="preserve">. The Strategy </w:t>
      </w:r>
      <w:r w:rsidR="000653DC" w:rsidRPr="000552EC">
        <w:t>compris</w:t>
      </w:r>
      <w:r w:rsidR="000653DC">
        <w:t>es</w:t>
      </w:r>
      <w:r w:rsidR="00BB54E0">
        <w:t xml:space="preserve"> </w:t>
      </w:r>
      <w:r w:rsidR="006C20E9">
        <w:t xml:space="preserve">in relation to </w:t>
      </w:r>
      <w:r w:rsidR="000653DC">
        <w:t>deinstitutionalisation</w:t>
      </w:r>
      <w:r w:rsidR="006C20E9">
        <w:t xml:space="preserve"> </w:t>
      </w:r>
      <w:r w:rsidR="00BB54E0">
        <w:t>some</w:t>
      </w:r>
      <w:r w:rsidR="000653DC">
        <w:t>what</w:t>
      </w:r>
      <w:r w:rsidR="00BB54E0" w:rsidRPr="000552EC">
        <w:t xml:space="preserve"> baseline indicator set, although without quantifiable targets</w:t>
      </w:r>
      <w:r w:rsidR="00BB54E0">
        <w:t xml:space="preserve">. </w:t>
      </w:r>
    </w:p>
    <w:p w14:paraId="09CA61B1" w14:textId="320A679F" w:rsidR="0088094D" w:rsidRPr="006601E5" w:rsidRDefault="0088094D"/>
    <w:p w14:paraId="2CE0B7A4" w14:textId="5CB8CC88" w:rsidR="00803158" w:rsidRDefault="00803158" w:rsidP="00B25DFD">
      <w:pPr>
        <w:autoSpaceDE w:val="0"/>
        <w:autoSpaceDN w:val="0"/>
        <w:adjustRightInd w:val="0"/>
        <w:rPr>
          <w:rFonts w:ascii="Tahoma" w:hAnsi="Tahoma" w:cs="Tahoma"/>
          <w:bCs/>
          <w:iCs/>
          <w:sz w:val="22"/>
          <w:szCs w:val="22"/>
        </w:rPr>
      </w:pPr>
    </w:p>
    <w:p w14:paraId="40119BE6" w14:textId="77777777" w:rsidR="00EF0B42" w:rsidRDefault="00EF0B42" w:rsidP="00B25DFD">
      <w:pPr>
        <w:autoSpaceDE w:val="0"/>
        <w:autoSpaceDN w:val="0"/>
        <w:adjustRightInd w:val="0"/>
        <w:rPr>
          <w:rFonts w:ascii="Tahoma" w:hAnsi="Tahoma" w:cs="Tahoma"/>
          <w:bCs/>
          <w:iCs/>
          <w:sz w:val="22"/>
          <w:szCs w:val="22"/>
        </w:rPr>
      </w:pPr>
    </w:p>
    <w:p w14:paraId="453211C6" w14:textId="77777777" w:rsidR="00803158" w:rsidRDefault="00803158" w:rsidP="00875F7E"/>
    <w:p w14:paraId="1275F11C" w14:textId="3D1539C1" w:rsidR="00D0292C" w:rsidRDefault="00DE4BC5" w:rsidP="006740A5">
      <w:pPr>
        <w:pStyle w:val="Heading1"/>
        <w:jc w:val="both"/>
      </w:pPr>
      <w:bookmarkStart w:id="7" w:name="_Toc528662148"/>
      <w:r>
        <w:lastRenderedPageBreak/>
        <w:t>Disability and employment - analysis of the</w:t>
      </w:r>
      <w:r w:rsidR="00172D74">
        <w:t xml:space="preserve"> situation and</w:t>
      </w:r>
      <w:r>
        <w:t xml:space="preserve"> the </w:t>
      </w:r>
      <w:r w:rsidR="00172D74">
        <w:t>effectiveness of policies</w:t>
      </w:r>
      <w:bookmarkEnd w:id="7"/>
    </w:p>
    <w:p w14:paraId="20E2DDAB" w14:textId="77777777" w:rsidR="00003C22" w:rsidRDefault="00003C22" w:rsidP="006740A5">
      <w:pPr>
        <w:jc w:val="both"/>
      </w:pPr>
      <w:bookmarkStart w:id="8" w:name="_Hlk522782630"/>
    </w:p>
    <w:p w14:paraId="2D182ABD" w14:textId="5CFEE8F1" w:rsidR="009322AE" w:rsidRDefault="00003C22" w:rsidP="006740A5">
      <w:pPr>
        <w:jc w:val="both"/>
      </w:pPr>
      <w:r>
        <w:t>According to the estimates available from EU-SILC data, the employment situation in the Czech Republic is characterised by s</w:t>
      </w:r>
      <w:r w:rsidRPr="00003C22">
        <w:t xml:space="preserve">trong general employment conditions but with wide disability </w:t>
      </w:r>
      <w:r>
        <w:t>equality</w:t>
      </w:r>
      <w:r w:rsidRPr="00003C22">
        <w:t xml:space="preserve"> gaps</w:t>
      </w:r>
      <w:r w:rsidR="009322AE">
        <w:t xml:space="preserve"> (see </w:t>
      </w:r>
      <w:r w:rsidR="009322AE">
        <w:fldChar w:fldCharType="begin"/>
      </w:r>
      <w:r w:rsidR="009322AE">
        <w:instrText xml:space="preserve"> REF _Ref525646573 \h </w:instrText>
      </w:r>
      <w:r w:rsidR="00875F7E">
        <w:instrText xml:space="preserve"> \* MERGEFORMAT </w:instrText>
      </w:r>
      <w:r w:rsidR="009322AE">
        <w:fldChar w:fldCharType="separate"/>
      </w:r>
      <w:r w:rsidR="00B25DFD">
        <w:t xml:space="preserve">Table </w:t>
      </w:r>
      <w:r w:rsidR="00B25DFD">
        <w:rPr>
          <w:noProof/>
        </w:rPr>
        <w:t>3</w:t>
      </w:r>
      <w:r w:rsidR="009322AE">
        <w:fldChar w:fldCharType="end"/>
      </w:r>
      <w:r w:rsidR="009322AE">
        <w:t xml:space="preserve"> in annex)</w:t>
      </w:r>
      <w:r>
        <w:t xml:space="preserve">. </w:t>
      </w:r>
      <w:r w:rsidR="00E216AE">
        <w:rPr>
          <w:rFonts w:eastAsia="Times New Roman"/>
          <w:color w:val="000000"/>
          <w:szCs w:val="18"/>
          <w:lang w:eastAsia="cs-CZ"/>
        </w:rPr>
        <w:t>Compared to other EU countries, t</w:t>
      </w:r>
      <w:r w:rsidR="00E216AE" w:rsidRPr="00707FAD">
        <w:rPr>
          <w:rFonts w:eastAsia="Times New Roman"/>
          <w:color w:val="000000"/>
          <w:szCs w:val="18"/>
          <w:lang w:eastAsia="cs-CZ"/>
        </w:rPr>
        <w:t xml:space="preserve">he Czech Republic performs </w:t>
      </w:r>
      <w:r w:rsidR="00E216AE">
        <w:rPr>
          <w:rFonts w:eastAsia="Times New Roman"/>
          <w:color w:val="000000"/>
          <w:szCs w:val="18"/>
          <w:lang w:eastAsia="cs-CZ"/>
        </w:rPr>
        <w:t>well in employment generally. The country has very low unemployment, and</w:t>
      </w:r>
      <w:r w:rsidR="00E216AE" w:rsidRPr="00707FAD">
        <w:rPr>
          <w:rFonts w:eastAsia="Times New Roman"/>
          <w:color w:val="000000"/>
          <w:szCs w:val="18"/>
          <w:lang w:eastAsia="cs-CZ"/>
        </w:rPr>
        <w:t xml:space="preserve"> a very low share of people at risk of poverty </w:t>
      </w:r>
      <w:r w:rsidR="00E216AE">
        <w:rPr>
          <w:rFonts w:eastAsia="Times New Roman"/>
          <w:color w:val="000000"/>
          <w:szCs w:val="18"/>
          <w:lang w:eastAsia="cs-CZ"/>
        </w:rPr>
        <w:t>or social exclusion rate</w:t>
      </w:r>
      <w:r w:rsidR="00E216AE" w:rsidRPr="00707FAD">
        <w:rPr>
          <w:rFonts w:eastAsia="Times New Roman"/>
          <w:color w:val="000000"/>
          <w:szCs w:val="18"/>
          <w:lang w:eastAsia="cs-CZ"/>
        </w:rPr>
        <w:t xml:space="preserve">, </w:t>
      </w:r>
      <w:r w:rsidR="00E216AE">
        <w:rPr>
          <w:rFonts w:eastAsia="Times New Roman"/>
          <w:color w:val="000000"/>
          <w:szCs w:val="18"/>
          <w:lang w:eastAsia="cs-CZ"/>
        </w:rPr>
        <w:t xml:space="preserve">and very low-income inequality. </w:t>
      </w:r>
      <w:r w:rsidR="00E216AE">
        <w:t>Nevertheless, the</w:t>
      </w:r>
      <w:r>
        <w:t xml:space="preserve"> average employment rate for persons declaring activity limitation is well below that predicted from </w:t>
      </w:r>
      <w:r w:rsidR="009322AE">
        <w:t>countries with similar</w:t>
      </w:r>
      <w:r>
        <w:t xml:space="preserve"> general employment rate</w:t>
      </w:r>
      <w:r w:rsidR="009322AE">
        <w:t>s</w:t>
      </w:r>
      <w:r w:rsidR="00E216AE">
        <w:t xml:space="preserve"> and </w:t>
      </w:r>
      <w:r w:rsidR="00E216AE" w:rsidRPr="00E216AE">
        <w:t>falls under the EU average</w:t>
      </w:r>
      <w:r w:rsidR="009322AE">
        <w:t>. This is evident also among persons declaring more severe levels of impairment, who may be more directly impacted by disability-specific policy measures. At the same time, unemployment is disproportionately high for the disability group, compared to general rates and amplified among those with more severe impairments (</w:t>
      </w:r>
      <w:r w:rsidR="009322AE">
        <w:fldChar w:fldCharType="begin"/>
      </w:r>
      <w:r w:rsidR="009322AE">
        <w:instrText xml:space="preserve"> REF _Ref525646601 \h </w:instrText>
      </w:r>
      <w:r w:rsidR="00875F7E">
        <w:instrText xml:space="preserve"> \* MERGEFORMAT </w:instrText>
      </w:r>
      <w:r w:rsidR="009322AE">
        <w:fldChar w:fldCharType="separate"/>
      </w:r>
      <w:r w:rsidR="00B25DFD">
        <w:t xml:space="preserve">Table </w:t>
      </w:r>
      <w:r w:rsidR="00B25DFD">
        <w:rPr>
          <w:noProof/>
        </w:rPr>
        <w:t>6</w:t>
      </w:r>
      <w:r w:rsidR="009322AE">
        <w:fldChar w:fldCharType="end"/>
      </w:r>
      <w:r w:rsidR="009322AE">
        <w:t>). The same is true for economic inactivity (</w:t>
      </w:r>
      <w:r w:rsidR="009322AE">
        <w:fldChar w:fldCharType="begin"/>
      </w:r>
      <w:r w:rsidR="009322AE">
        <w:instrText xml:space="preserve"> REF _Ref525646614 \h </w:instrText>
      </w:r>
      <w:r w:rsidR="00875F7E">
        <w:instrText xml:space="preserve"> \* MERGEFORMAT </w:instrText>
      </w:r>
      <w:r w:rsidR="009322AE">
        <w:fldChar w:fldCharType="separate"/>
      </w:r>
      <w:r w:rsidR="00B25DFD">
        <w:t xml:space="preserve">Table </w:t>
      </w:r>
      <w:r w:rsidR="00B25DFD">
        <w:rPr>
          <w:noProof/>
        </w:rPr>
        <w:t>9</w:t>
      </w:r>
      <w:r w:rsidR="009322AE">
        <w:fldChar w:fldCharType="end"/>
      </w:r>
      <w:r w:rsidR="009322AE">
        <w:t xml:space="preserve">). </w:t>
      </w:r>
      <w:r>
        <w:t xml:space="preserve">As </w:t>
      </w:r>
      <w:r w:rsidR="009322AE">
        <w:t>suggested</w:t>
      </w:r>
      <w:r>
        <w:t xml:space="preserve"> in the Commission’s </w:t>
      </w:r>
      <w:r w:rsidR="009322AE">
        <w:t xml:space="preserve">2018 </w:t>
      </w:r>
      <w:r>
        <w:t xml:space="preserve">Semester review, </w:t>
      </w:r>
      <w:r w:rsidR="009322AE">
        <w:t xml:space="preserve">such measures confirm that </w:t>
      </w:r>
      <w:r>
        <w:t xml:space="preserve">disabled people are </w:t>
      </w:r>
      <w:r w:rsidR="009322AE">
        <w:t xml:space="preserve">poorly </w:t>
      </w:r>
      <w:r w:rsidRPr="00003C22">
        <w:t xml:space="preserve">represented in the </w:t>
      </w:r>
      <w:r w:rsidR="009322AE">
        <w:t xml:space="preserve">Czech </w:t>
      </w:r>
      <w:r w:rsidRPr="00003C22">
        <w:t>labour market</w:t>
      </w:r>
      <w:r>
        <w:t xml:space="preserve"> </w:t>
      </w:r>
      <w:r w:rsidR="009322AE">
        <w:t>at the same time as</w:t>
      </w:r>
      <w:r>
        <w:t xml:space="preserve"> </w:t>
      </w:r>
      <w:r w:rsidR="009322AE">
        <w:t>that</w:t>
      </w:r>
      <w:r>
        <w:t xml:space="preserve"> </w:t>
      </w:r>
      <w:r w:rsidRPr="00003C22">
        <w:t>labour market</w:t>
      </w:r>
      <w:r>
        <w:t xml:space="preserve"> is booming. </w:t>
      </w:r>
      <w:r w:rsidR="009322AE">
        <w:t>There is a risk that disabled people are left behind and this situation needs to be addressed.</w:t>
      </w:r>
    </w:p>
    <w:p w14:paraId="293F05B1" w14:textId="77777777" w:rsidR="009322AE" w:rsidRDefault="009322AE" w:rsidP="006740A5">
      <w:pPr>
        <w:jc w:val="both"/>
      </w:pPr>
    </w:p>
    <w:p w14:paraId="72662492" w14:textId="3F1173F7" w:rsidR="00A64F90" w:rsidRPr="00F14546" w:rsidRDefault="00A64F90" w:rsidP="006740A5">
      <w:pPr>
        <w:jc w:val="both"/>
      </w:pPr>
      <w:r w:rsidRPr="00D600AD">
        <w:t>The abs</w:t>
      </w:r>
      <w:r>
        <w:t xml:space="preserve">ence of relevant </w:t>
      </w:r>
      <w:r w:rsidR="00003C22">
        <w:t xml:space="preserve">national </w:t>
      </w:r>
      <w:r>
        <w:t>data on disab</w:t>
      </w:r>
      <w:r w:rsidR="00CF4AF4">
        <w:t>ility</w:t>
      </w:r>
      <w:r w:rsidR="000653DC">
        <w:t xml:space="preserve"> and employment makes attempts </w:t>
      </w:r>
      <w:r w:rsidRPr="00D600AD">
        <w:t xml:space="preserve">to </w:t>
      </w:r>
      <w:r w:rsidR="000653DC" w:rsidRPr="00D600AD">
        <w:t>deliver</w:t>
      </w:r>
      <w:r w:rsidRPr="00D600AD">
        <w:t xml:space="preserve"> a </w:t>
      </w:r>
      <w:r w:rsidR="009322AE">
        <w:t xml:space="preserve">more </w:t>
      </w:r>
      <w:r w:rsidRPr="00D600AD">
        <w:t>det</w:t>
      </w:r>
      <w:r>
        <w:t>ailed description of the situation and trends</w:t>
      </w:r>
      <w:r w:rsidR="000653DC">
        <w:t xml:space="preserve"> problematic. There</w:t>
      </w:r>
      <w:r w:rsidRPr="00D600AD">
        <w:t xml:space="preserve"> </w:t>
      </w:r>
      <w:r>
        <w:t>are limited</w:t>
      </w:r>
      <w:r w:rsidR="0088699F">
        <w:t xml:space="preserve"> employment </w:t>
      </w:r>
      <w:r w:rsidRPr="00D600AD">
        <w:t>s</w:t>
      </w:r>
      <w:r>
        <w:t xml:space="preserve">tatistics </w:t>
      </w:r>
      <w:r w:rsidR="00940BD6">
        <w:t>related to disability</w:t>
      </w:r>
      <w:r w:rsidRPr="00D600AD">
        <w:t xml:space="preserve">. </w:t>
      </w:r>
      <w:r w:rsidR="00CF4AF4">
        <w:t>O</w:t>
      </w:r>
      <w:r w:rsidR="000653DC">
        <w:t xml:space="preserve">nly partial statistics </w:t>
      </w:r>
      <w:r w:rsidR="00CF4AF4">
        <w:t xml:space="preserve">are </w:t>
      </w:r>
      <w:r w:rsidR="000653DC">
        <w:t>pro</w:t>
      </w:r>
      <w:r w:rsidR="00CF4AF4">
        <w:t xml:space="preserve">vided by </w:t>
      </w:r>
      <w:proofErr w:type="spellStart"/>
      <w:r w:rsidR="00662BD9">
        <w:t>MoLSA</w:t>
      </w:r>
      <w:proofErr w:type="spellEnd"/>
      <w:r w:rsidRPr="00D600AD">
        <w:t>, the Labour</w:t>
      </w:r>
      <w:r w:rsidR="00662BD9">
        <w:t xml:space="preserve"> Office</w:t>
      </w:r>
      <w:r w:rsidRPr="00D600AD">
        <w:t>, the Czech Social Security Administration</w:t>
      </w:r>
      <w:r>
        <w:t xml:space="preserve">, and the Results of the </w:t>
      </w:r>
      <w:r w:rsidR="00E216AE">
        <w:t xml:space="preserve">2013 </w:t>
      </w:r>
      <w:r>
        <w:t>Sample S</w:t>
      </w:r>
      <w:r w:rsidRPr="00D600AD">
        <w:t>urveys</w:t>
      </w:r>
      <w:r>
        <w:t xml:space="preserve"> of the Czech Statistical Office</w:t>
      </w:r>
      <w:r w:rsidR="009322AE">
        <w:t>.</w:t>
      </w:r>
      <w:r>
        <w:rPr>
          <w:rStyle w:val="FootnoteReference"/>
        </w:rPr>
        <w:footnoteReference w:id="7"/>
      </w:r>
      <w:r w:rsidR="000653DC">
        <w:t xml:space="preserve"> </w:t>
      </w:r>
      <w:r w:rsidR="002048CB">
        <w:t>T</w:t>
      </w:r>
      <w:r w:rsidR="002048CB" w:rsidRPr="002048CB">
        <w:t xml:space="preserve">he available statistics provide only overall information on the number of persons with disability registered as job seekers, the number of vacancies suitable for persons with disabilities and the number of persons with disabilities eligible for </w:t>
      </w:r>
      <w:r w:rsidR="002048CB">
        <w:t>a</w:t>
      </w:r>
      <w:r w:rsidR="002048CB" w:rsidRPr="002048CB">
        <w:t xml:space="preserve"> vacancy. With regards to where persons with disabilities are employed, there only </w:t>
      </w:r>
      <w:r w:rsidR="00A611FF">
        <w:t xml:space="preserve">limited </w:t>
      </w:r>
      <w:r w:rsidR="002048CB" w:rsidRPr="002048CB">
        <w:t>data. Similarly, there is no overall data on fulfilment of the disability employment quota.</w:t>
      </w:r>
      <w:r w:rsidR="002048CB">
        <w:t xml:space="preserve"> </w:t>
      </w:r>
      <w:r w:rsidR="00F14546">
        <w:t>I</w:t>
      </w:r>
      <w:r w:rsidR="00F14546" w:rsidRPr="00F14546">
        <w:rPr>
          <w:rFonts w:eastAsia="Times New Roman"/>
          <w:color w:val="000000"/>
          <w:szCs w:val="18"/>
          <w:lang w:eastAsia="cs-CZ"/>
        </w:rPr>
        <w:t xml:space="preserve">t </w:t>
      </w:r>
      <w:r w:rsidR="006B2A4E">
        <w:rPr>
          <w:rFonts w:eastAsia="Times New Roman"/>
          <w:color w:val="000000"/>
          <w:szCs w:val="18"/>
          <w:lang w:eastAsia="cs-CZ"/>
        </w:rPr>
        <w:t>would be important</w:t>
      </w:r>
      <w:r w:rsidR="00F14546" w:rsidRPr="00F14546">
        <w:rPr>
          <w:rFonts w:eastAsia="Times New Roman"/>
          <w:color w:val="000000"/>
          <w:szCs w:val="18"/>
          <w:lang w:eastAsia="cs-CZ"/>
        </w:rPr>
        <w:t xml:space="preserve"> to </w:t>
      </w:r>
      <w:r w:rsidR="0088699F">
        <w:rPr>
          <w:rFonts w:eastAsia="Times New Roman"/>
          <w:color w:val="000000"/>
          <w:szCs w:val="18"/>
          <w:lang w:eastAsia="cs-CZ"/>
        </w:rPr>
        <w:t xml:space="preserve">develop </w:t>
      </w:r>
      <w:r w:rsidR="002048CB">
        <w:rPr>
          <w:rFonts w:eastAsia="Times New Roman"/>
          <w:color w:val="000000"/>
          <w:szCs w:val="18"/>
          <w:lang w:eastAsia="cs-CZ"/>
        </w:rPr>
        <w:t xml:space="preserve">a </w:t>
      </w:r>
      <w:r w:rsidR="0088699F">
        <w:rPr>
          <w:rFonts w:eastAsia="Times New Roman"/>
          <w:color w:val="000000"/>
          <w:szCs w:val="18"/>
          <w:lang w:eastAsia="cs-CZ"/>
        </w:rPr>
        <w:t xml:space="preserve">monitoring system which would generate relevant data on disability and </w:t>
      </w:r>
      <w:r w:rsidR="00F14546" w:rsidRPr="00F14546">
        <w:rPr>
          <w:rFonts w:eastAsia="Times New Roman"/>
          <w:color w:val="000000"/>
          <w:szCs w:val="18"/>
          <w:lang w:eastAsia="cs-CZ"/>
        </w:rPr>
        <w:t xml:space="preserve">employment. </w:t>
      </w:r>
      <w:r w:rsidR="00E216AE">
        <w:rPr>
          <w:rFonts w:eastAsia="Times New Roman"/>
          <w:color w:val="000000"/>
          <w:szCs w:val="18"/>
          <w:lang w:eastAsia="cs-CZ"/>
        </w:rPr>
        <w:t>This would greatly assist in evaluating the</w:t>
      </w:r>
      <w:r w:rsidR="00CF4AF4">
        <w:rPr>
          <w:rFonts w:eastAsia="Times New Roman"/>
          <w:color w:val="000000"/>
          <w:szCs w:val="18"/>
          <w:lang w:eastAsia="cs-CZ"/>
        </w:rPr>
        <w:t xml:space="preserve"> implementation</w:t>
      </w:r>
      <w:r w:rsidR="00F14546">
        <w:rPr>
          <w:rFonts w:eastAsia="Times New Roman"/>
          <w:color w:val="000000"/>
          <w:szCs w:val="18"/>
          <w:lang w:eastAsia="cs-CZ"/>
        </w:rPr>
        <w:t xml:space="preserve"> and effectiveness</w:t>
      </w:r>
      <w:r w:rsidR="00F14546" w:rsidRPr="00F14546">
        <w:rPr>
          <w:rFonts w:eastAsia="Times New Roman"/>
          <w:color w:val="000000"/>
          <w:szCs w:val="18"/>
          <w:lang w:eastAsia="cs-CZ"/>
        </w:rPr>
        <w:t xml:space="preserve"> of </w:t>
      </w:r>
      <w:r w:rsidR="00F14546">
        <w:rPr>
          <w:rFonts w:eastAsia="Times New Roman"/>
          <w:color w:val="000000"/>
          <w:szCs w:val="18"/>
          <w:lang w:eastAsia="cs-CZ"/>
        </w:rPr>
        <w:t>activation/</w:t>
      </w:r>
      <w:r w:rsidR="006B2A4E">
        <w:rPr>
          <w:rFonts w:eastAsia="Times New Roman"/>
          <w:color w:val="000000"/>
          <w:szCs w:val="18"/>
          <w:lang w:eastAsia="cs-CZ"/>
        </w:rPr>
        <w:t>employment</w:t>
      </w:r>
      <w:r w:rsidR="00F14546" w:rsidRPr="00F14546">
        <w:rPr>
          <w:rFonts w:eastAsia="Times New Roman"/>
          <w:color w:val="000000"/>
          <w:szCs w:val="18"/>
          <w:lang w:eastAsia="cs-CZ"/>
        </w:rPr>
        <w:t xml:space="preserve">-rehabilitation </w:t>
      </w:r>
      <w:r w:rsidR="00F14546">
        <w:rPr>
          <w:rFonts w:eastAsia="Times New Roman"/>
          <w:color w:val="000000"/>
          <w:szCs w:val="18"/>
          <w:lang w:eastAsia="cs-CZ"/>
        </w:rPr>
        <w:t xml:space="preserve">measures </w:t>
      </w:r>
      <w:r w:rsidR="00CF4AF4">
        <w:rPr>
          <w:rFonts w:eastAsia="Times New Roman"/>
          <w:color w:val="000000"/>
          <w:szCs w:val="18"/>
          <w:lang w:eastAsia="cs-CZ"/>
        </w:rPr>
        <w:t>targeted at</w:t>
      </w:r>
      <w:r w:rsidR="00F14546" w:rsidRPr="00F14546">
        <w:rPr>
          <w:rFonts w:eastAsia="Times New Roman"/>
          <w:color w:val="000000"/>
          <w:szCs w:val="18"/>
          <w:lang w:eastAsia="cs-CZ"/>
        </w:rPr>
        <w:t xml:space="preserve"> disabled people.</w:t>
      </w:r>
    </w:p>
    <w:p w14:paraId="4A28B7DB" w14:textId="77777777" w:rsidR="00F14546" w:rsidRDefault="00F14546" w:rsidP="006740A5">
      <w:pPr>
        <w:jc w:val="both"/>
        <w:rPr>
          <w:rFonts w:eastAsia="Times New Roman"/>
          <w:color w:val="000000"/>
          <w:szCs w:val="18"/>
          <w:lang w:eastAsia="cs-CZ"/>
        </w:rPr>
      </w:pPr>
    </w:p>
    <w:bookmarkEnd w:id="8"/>
    <w:p w14:paraId="684B9D63" w14:textId="150D3935" w:rsidR="00ED3618" w:rsidRDefault="00E216AE" w:rsidP="006740A5">
      <w:pPr>
        <w:jc w:val="both"/>
      </w:pPr>
      <w:r>
        <w:rPr>
          <w:rFonts w:eastAsia="Times New Roman"/>
          <w:color w:val="000000"/>
          <w:szCs w:val="18"/>
          <w:lang w:eastAsia="cs-CZ"/>
        </w:rPr>
        <w:t xml:space="preserve">As mentioned (in chapter 1.3.1), in </w:t>
      </w:r>
      <w:r w:rsidR="008B5C70" w:rsidRPr="000552EC">
        <w:t>its 201</w:t>
      </w:r>
      <w:r w:rsidR="00F8697D">
        <w:t>5</w:t>
      </w:r>
      <w:r w:rsidR="008B5C70" w:rsidRPr="000552EC">
        <w:t xml:space="preserve"> Concluding Observations, the UN CRPD Committee observed the</w:t>
      </w:r>
      <w:r w:rsidR="008B5C70">
        <w:rPr>
          <w:rFonts w:eastAsia="Times New Roman"/>
          <w:color w:val="000000"/>
          <w:szCs w:val="18"/>
          <w:lang w:eastAsia="cs-CZ"/>
        </w:rPr>
        <w:t xml:space="preserve"> gaps in</w:t>
      </w:r>
      <w:r w:rsidR="00707FAD" w:rsidRPr="005060FC">
        <w:rPr>
          <w:lang w:eastAsia="en-GB"/>
        </w:rPr>
        <w:t xml:space="preserve"> foster</w:t>
      </w:r>
      <w:r w:rsidR="008B5C70">
        <w:rPr>
          <w:lang w:eastAsia="en-GB"/>
        </w:rPr>
        <w:t>ing</w:t>
      </w:r>
      <w:r w:rsidR="00707FAD" w:rsidRPr="005060FC">
        <w:rPr>
          <w:lang w:eastAsia="en-GB"/>
        </w:rPr>
        <w:t xml:space="preserve"> the employment of disabled people, including by </w:t>
      </w:r>
      <w:r w:rsidR="008B5C70">
        <w:rPr>
          <w:lang w:eastAsia="en-GB"/>
        </w:rPr>
        <w:t xml:space="preserve">limited </w:t>
      </w:r>
      <w:r w:rsidR="00707FAD" w:rsidRPr="005060FC">
        <w:rPr>
          <w:lang w:eastAsia="en-GB"/>
        </w:rPr>
        <w:t>effectiveness of active labour market policies.</w:t>
      </w:r>
      <w:r w:rsidR="006B2A4E">
        <w:rPr>
          <w:lang w:eastAsia="en-GB"/>
        </w:rPr>
        <w:t xml:space="preserve"> </w:t>
      </w:r>
      <w:r>
        <w:rPr>
          <w:lang w:eastAsia="en-GB"/>
        </w:rPr>
        <w:t xml:space="preserve">This message as reinforced in the 2018 Semester reviews and Country Specific Recommendation (see chapter 5 later). The overall low </w:t>
      </w:r>
      <w:r w:rsidR="006B2A4E">
        <w:rPr>
          <w:lang w:eastAsia="en-GB"/>
        </w:rPr>
        <w:t>e</w:t>
      </w:r>
      <w:r w:rsidR="008B5C70">
        <w:rPr>
          <w:lang w:eastAsia="en-GB"/>
        </w:rPr>
        <w:t>mployment rate of disabled people does not correspond with the growth of the national economy</w:t>
      </w:r>
      <w:r>
        <w:rPr>
          <w:lang w:eastAsia="en-GB"/>
        </w:rPr>
        <w:t xml:space="preserve">, where there </w:t>
      </w:r>
      <w:r w:rsidR="008B5C70" w:rsidRPr="008B5C70">
        <w:rPr>
          <w:lang w:eastAsia="en-GB"/>
        </w:rPr>
        <w:t xml:space="preserve">is evidence of </w:t>
      </w:r>
      <w:r w:rsidR="001A63EC" w:rsidRPr="008B5C70">
        <w:rPr>
          <w:lang w:eastAsia="en-GB"/>
        </w:rPr>
        <w:t>increasing</w:t>
      </w:r>
      <w:r w:rsidR="008B5C70" w:rsidRPr="008B5C70">
        <w:rPr>
          <w:lang w:eastAsia="en-GB"/>
        </w:rPr>
        <w:t xml:space="preserve"> labour shortages</w:t>
      </w:r>
      <w:r w:rsidR="008B5C70">
        <w:rPr>
          <w:lang w:eastAsia="en-GB"/>
        </w:rPr>
        <w:t>.</w:t>
      </w:r>
      <w:r w:rsidR="008B5C70" w:rsidRPr="008B5C70">
        <w:rPr>
          <w:lang w:eastAsia="en-GB"/>
        </w:rPr>
        <w:t xml:space="preserve"> </w:t>
      </w:r>
      <w:r>
        <w:rPr>
          <w:lang w:eastAsia="en-GB"/>
        </w:rPr>
        <w:t>Indeed, i</w:t>
      </w:r>
      <w:r w:rsidR="00ED3618" w:rsidRPr="00AB25ED">
        <w:t xml:space="preserve">f we </w:t>
      </w:r>
      <w:r w:rsidR="00ED3618">
        <w:t xml:space="preserve">compare national trends during </w:t>
      </w:r>
      <w:r w:rsidR="005039F6">
        <w:t xml:space="preserve">the </w:t>
      </w:r>
      <w:r w:rsidR="00ED3618">
        <w:t>decade commencing in 200</w:t>
      </w:r>
      <w:r w:rsidR="00ED3618" w:rsidRPr="00AB25ED">
        <w:t>5</w:t>
      </w:r>
      <w:r w:rsidR="00ED3618">
        <w:t xml:space="preserve">, </w:t>
      </w:r>
      <w:r w:rsidR="00ED3618" w:rsidRPr="00AB25ED">
        <w:t>almost all regions have experienced a decline in the number of unemployed people with disabilities</w:t>
      </w:r>
      <w:r w:rsidR="006740A5">
        <w:t>.</w:t>
      </w:r>
      <w:r w:rsidR="00ED3618">
        <w:rPr>
          <w:rStyle w:val="FootnoteReference"/>
        </w:rPr>
        <w:footnoteReference w:id="8"/>
      </w:r>
      <w:r>
        <w:t xml:space="preserve"> </w:t>
      </w:r>
    </w:p>
    <w:p w14:paraId="42FA0268" w14:textId="1C0320E3" w:rsidR="00E216AE" w:rsidRPr="006740A5" w:rsidRDefault="00E216AE" w:rsidP="006740A5">
      <w:pPr>
        <w:tabs>
          <w:tab w:val="left" w:pos="1680"/>
        </w:tabs>
        <w:jc w:val="both"/>
      </w:pPr>
      <w:r w:rsidRPr="00B25DFD">
        <w:rPr>
          <w:b/>
        </w:rPr>
        <w:lastRenderedPageBreak/>
        <w:t>Policy development</w:t>
      </w:r>
    </w:p>
    <w:p w14:paraId="7DB58DC8" w14:textId="166D851F" w:rsidR="00707FAD" w:rsidRDefault="00D327EB" w:rsidP="006740A5">
      <w:pPr>
        <w:jc w:val="both"/>
        <w:rPr>
          <w:lang w:eastAsia="en-GB"/>
        </w:rPr>
      </w:pPr>
      <w:r>
        <w:rPr>
          <w:lang w:eastAsia="en-GB"/>
        </w:rPr>
        <w:t>The National Employment Strategy 2020</w:t>
      </w:r>
      <w:r w:rsidR="00FC613C">
        <w:rPr>
          <w:rStyle w:val="FootnoteReference"/>
          <w:lang w:eastAsia="en-GB"/>
        </w:rPr>
        <w:footnoteReference w:id="9"/>
      </w:r>
      <w:r>
        <w:rPr>
          <w:lang w:eastAsia="en-GB"/>
        </w:rPr>
        <w:t xml:space="preserve"> addresses</w:t>
      </w:r>
      <w:r w:rsidR="00F8697D">
        <w:rPr>
          <w:lang w:eastAsia="en-GB"/>
        </w:rPr>
        <w:t xml:space="preserve"> </w:t>
      </w:r>
      <w:r w:rsidR="006B2A4E">
        <w:rPr>
          <w:lang w:eastAsia="en-GB"/>
        </w:rPr>
        <w:t xml:space="preserve">the </w:t>
      </w:r>
      <w:r>
        <w:rPr>
          <w:lang w:eastAsia="en-GB"/>
        </w:rPr>
        <w:t>low participation of disabled people in the employment</w:t>
      </w:r>
      <w:r w:rsidR="00F8697D">
        <w:rPr>
          <w:lang w:eastAsia="en-GB"/>
        </w:rPr>
        <w:t xml:space="preserve"> only </w:t>
      </w:r>
      <w:r w:rsidR="00007312">
        <w:rPr>
          <w:lang w:eastAsia="en-GB"/>
        </w:rPr>
        <w:t xml:space="preserve">in a </w:t>
      </w:r>
      <w:r w:rsidR="00F8697D">
        <w:rPr>
          <w:lang w:eastAsia="en-GB"/>
        </w:rPr>
        <w:t>general</w:t>
      </w:r>
      <w:r w:rsidR="00007312">
        <w:rPr>
          <w:lang w:eastAsia="en-GB"/>
        </w:rPr>
        <w:t xml:space="preserve"> way</w:t>
      </w:r>
      <w:r w:rsidR="00CE15BB">
        <w:rPr>
          <w:lang w:eastAsia="en-GB"/>
        </w:rPr>
        <w:t xml:space="preserve">. </w:t>
      </w:r>
      <w:r w:rsidR="00E216AE">
        <w:rPr>
          <w:lang w:eastAsia="en-GB"/>
        </w:rPr>
        <w:t>It</w:t>
      </w:r>
      <w:r w:rsidR="00FC613C">
        <w:rPr>
          <w:lang w:eastAsia="en-GB"/>
        </w:rPr>
        <w:t xml:space="preserve"> </w:t>
      </w:r>
      <w:r w:rsidR="00ED3618">
        <w:rPr>
          <w:lang w:eastAsia="en-GB"/>
        </w:rPr>
        <w:t>associates such</w:t>
      </w:r>
      <w:r w:rsidR="00CE15BB">
        <w:rPr>
          <w:lang w:eastAsia="en-GB"/>
        </w:rPr>
        <w:t xml:space="preserve"> unfavourable trend</w:t>
      </w:r>
      <w:r w:rsidR="00ED3618">
        <w:rPr>
          <w:lang w:eastAsia="en-GB"/>
        </w:rPr>
        <w:t>s</w:t>
      </w:r>
      <w:r w:rsidR="00CE15BB">
        <w:rPr>
          <w:lang w:eastAsia="en-GB"/>
        </w:rPr>
        <w:t xml:space="preserve"> </w:t>
      </w:r>
      <w:r w:rsidR="00A83007">
        <w:rPr>
          <w:lang w:eastAsia="en-GB"/>
        </w:rPr>
        <w:t>with</w:t>
      </w:r>
      <w:r w:rsidR="00FC613C">
        <w:rPr>
          <w:lang w:eastAsia="en-GB"/>
        </w:rPr>
        <w:t xml:space="preserve"> reduced work capacity</w:t>
      </w:r>
      <w:r w:rsidR="00CE15BB">
        <w:rPr>
          <w:lang w:eastAsia="en-GB"/>
        </w:rPr>
        <w:t xml:space="preserve"> of disabled people</w:t>
      </w:r>
      <w:r w:rsidR="00FC613C">
        <w:rPr>
          <w:lang w:eastAsia="en-GB"/>
        </w:rPr>
        <w:t xml:space="preserve">, </w:t>
      </w:r>
      <w:r w:rsidR="00CE15BB">
        <w:rPr>
          <w:lang w:eastAsia="en-GB"/>
        </w:rPr>
        <w:t xml:space="preserve">their </w:t>
      </w:r>
      <w:r w:rsidR="00FC613C">
        <w:rPr>
          <w:lang w:eastAsia="en-GB"/>
        </w:rPr>
        <w:t>need for assistance, requirements for specific workplace modifications, prejudice</w:t>
      </w:r>
      <w:r w:rsidR="00CE15BB">
        <w:rPr>
          <w:lang w:eastAsia="en-GB"/>
        </w:rPr>
        <w:t>s of general public</w:t>
      </w:r>
      <w:r w:rsidR="00FC613C">
        <w:rPr>
          <w:lang w:eastAsia="en-GB"/>
        </w:rPr>
        <w:t xml:space="preserve"> and </w:t>
      </w:r>
      <w:r w:rsidR="00CE15BB">
        <w:rPr>
          <w:lang w:eastAsia="en-GB"/>
        </w:rPr>
        <w:t>fears</w:t>
      </w:r>
      <w:r w:rsidR="00FC613C">
        <w:rPr>
          <w:lang w:eastAsia="en-GB"/>
        </w:rPr>
        <w:t xml:space="preserve"> of employers</w:t>
      </w:r>
      <w:r w:rsidR="006B2A4E">
        <w:rPr>
          <w:lang w:eastAsia="en-GB"/>
        </w:rPr>
        <w:t xml:space="preserve"> to employ disabled people</w:t>
      </w:r>
      <w:r w:rsidR="00FC613C">
        <w:rPr>
          <w:lang w:eastAsia="en-GB"/>
        </w:rPr>
        <w:t xml:space="preserve">, </w:t>
      </w:r>
      <w:r w:rsidR="00E216AE">
        <w:rPr>
          <w:lang w:eastAsia="en-GB"/>
        </w:rPr>
        <w:t xml:space="preserve">reluctance </w:t>
      </w:r>
      <w:r w:rsidR="00CE15BB">
        <w:rPr>
          <w:lang w:eastAsia="en-GB"/>
        </w:rPr>
        <w:t xml:space="preserve">of disabled people to seek </w:t>
      </w:r>
      <w:r w:rsidR="00FC613C">
        <w:rPr>
          <w:lang w:eastAsia="en-GB"/>
        </w:rPr>
        <w:t xml:space="preserve">employment, </w:t>
      </w:r>
      <w:r w:rsidR="00F92BC4">
        <w:rPr>
          <w:lang w:eastAsia="en-GB"/>
        </w:rPr>
        <w:t xml:space="preserve">and their </w:t>
      </w:r>
      <w:r w:rsidR="00ED3618">
        <w:rPr>
          <w:lang w:eastAsia="en-GB"/>
        </w:rPr>
        <w:t>low qualification</w:t>
      </w:r>
      <w:r w:rsidR="00E216AE">
        <w:rPr>
          <w:lang w:eastAsia="en-GB"/>
        </w:rPr>
        <w:t>s</w:t>
      </w:r>
      <w:r w:rsidR="00ED3618">
        <w:rPr>
          <w:lang w:eastAsia="en-GB"/>
        </w:rPr>
        <w:t>. T</w:t>
      </w:r>
      <w:r w:rsidR="00FC613C">
        <w:rPr>
          <w:lang w:eastAsia="en-GB"/>
        </w:rPr>
        <w:t>he Strategy does not provide evid</w:t>
      </w:r>
      <w:r w:rsidR="00A83007">
        <w:rPr>
          <w:lang w:eastAsia="en-GB"/>
        </w:rPr>
        <w:t>ence</w:t>
      </w:r>
      <w:r w:rsidR="00FC613C" w:rsidRPr="00FC613C">
        <w:rPr>
          <w:lang w:eastAsia="en-GB"/>
        </w:rPr>
        <w:t xml:space="preserve"> </w:t>
      </w:r>
      <w:r w:rsidR="00CE15BB">
        <w:rPr>
          <w:lang w:eastAsia="en-GB"/>
        </w:rPr>
        <w:t>for these</w:t>
      </w:r>
      <w:r w:rsidR="00F8697D">
        <w:rPr>
          <w:lang w:eastAsia="en-GB"/>
        </w:rPr>
        <w:t xml:space="preserve"> statement</w:t>
      </w:r>
      <w:r w:rsidR="00CE15BB">
        <w:rPr>
          <w:lang w:eastAsia="en-GB"/>
        </w:rPr>
        <w:t>s</w:t>
      </w:r>
      <w:r w:rsidR="00A83007">
        <w:rPr>
          <w:lang w:eastAsia="en-GB"/>
        </w:rPr>
        <w:t xml:space="preserve"> </w:t>
      </w:r>
      <w:r w:rsidR="00E216AE">
        <w:rPr>
          <w:lang w:eastAsia="en-GB"/>
        </w:rPr>
        <w:t>and</w:t>
      </w:r>
      <w:r w:rsidR="00A83007">
        <w:rPr>
          <w:lang w:eastAsia="en-GB"/>
        </w:rPr>
        <w:t xml:space="preserve"> fails to identify other explanations for low participation of disabled people in </w:t>
      </w:r>
      <w:r w:rsidR="00ED3618">
        <w:rPr>
          <w:lang w:eastAsia="en-GB"/>
        </w:rPr>
        <w:t xml:space="preserve">the </w:t>
      </w:r>
      <w:r w:rsidR="00A83007">
        <w:rPr>
          <w:lang w:eastAsia="en-GB"/>
        </w:rPr>
        <w:t>open employment</w:t>
      </w:r>
      <w:r w:rsidR="006B2A4E">
        <w:rPr>
          <w:lang w:eastAsia="en-GB"/>
        </w:rPr>
        <w:t xml:space="preserve"> market</w:t>
      </w:r>
      <w:r w:rsidR="00F8697D">
        <w:rPr>
          <w:lang w:eastAsia="en-GB"/>
        </w:rPr>
        <w:t xml:space="preserve">. </w:t>
      </w:r>
      <w:r w:rsidR="00FC613C">
        <w:rPr>
          <w:lang w:eastAsia="en-GB"/>
        </w:rPr>
        <w:t xml:space="preserve"> </w:t>
      </w:r>
    </w:p>
    <w:p w14:paraId="11136F42" w14:textId="77777777" w:rsidR="004F31A9" w:rsidRDefault="004F31A9" w:rsidP="006740A5">
      <w:pPr>
        <w:pStyle w:val="ListParagraph"/>
        <w:ind w:left="0"/>
        <w:jc w:val="both"/>
      </w:pPr>
    </w:p>
    <w:p w14:paraId="369CAB38" w14:textId="7ECA2BC1" w:rsidR="00FA7130" w:rsidRDefault="00CE38CB" w:rsidP="006740A5">
      <w:pPr>
        <w:jc w:val="both"/>
      </w:pPr>
      <w:r>
        <w:t>The 2016</w:t>
      </w:r>
      <w:r w:rsidR="00FA7130">
        <w:t xml:space="preserve"> employment survey</w:t>
      </w:r>
      <w:r w:rsidR="00E216AE">
        <w:t>,</w:t>
      </w:r>
      <w:r w:rsidR="008166B7">
        <w:rPr>
          <w:rStyle w:val="FootnoteReference"/>
        </w:rPr>
        <w:footnoteReference w:id="10"/>
      </w:r>
      <w:r w:rsidR="008166B7">
        <w:t xml:space="preserve"> </w:t>
      </w:r>
      <w:r w:rsidR="00FA7130">
        <w:t>show</w:t>
      </w:r>
      <w:r w:rsidR="00E216AE">
        <w:t>ed</w:t>
      </w:r>
      <w:r w:rsidR="00FA7130">
        <w:t xml:space="preserve"> that employers find by far the least challenging employing persons with hearing impairment, with 42% of the workers</w:t>
      </w:r>
      <w:r w:rsidR="000D5FEC">
        <w:t xml:space="preserve"> with hearing impairment</w:t>
      </w:r>
      <w:r w:rsidR="00FA7130">
        <w:t xml:space="preserve"> </w:t>
      </w:r>
      <w:r w:rsidR="000D5FEC">
        <w:t>employed (</w:t>
      </w:r>
      <w:r w:rsidR="00FA7130">
        <w:t>double the average of the disabled</w:t>
      </w:r>
      <w:r w:rsidR="000D5FEC">
        <w:t>). T</w:t>
      </w:r>
      <w:r w:rsidR="008166B7">
        <w:t xml:space="preserve">he most </w:t>
      </w:r>
      <w:r w:rsidR="00FA7130">
        <w:t xml:space="preserve">problematic group for employers </w:t>
      </w:r>
      <w:r w:rsidR="00ED3618">
        <w:t xml:space="preserve">reported </w:t>
      </w:r>
      <w:r w:rsidR="006B2A4E">
        <w:t xml:space="preserve">by the respondents </w:t>
      </w:r>
      <w:r w:rsidR="00ED3618">
        <w:t>were</w:t>
      </w:r>
      <w:r w:rsidR="00FA7130">
        <w:t xml:space="preserve"> those</w:t>
      </w:r>
      <w:r w:rsidR="000D5FEC">
        <w:t xml:space="preserve"> with</w:t>
      </w:r>
      <w:r w:rsidR="00FA7130">
        <w:t xml:space="preserve"> intellectual </w:t>
      </w:r>
      <w:r>
        <w:t>disabilities</w:t>
      </w:r>
      <w:r w:rsidR="00FA7130">
        <w:t>, and those with mental</w:t>
      </w:r>
      <w:r w:rsidR="00ED3618">
        <w:t xml:space="preserve"> health</w:t>
      </w:r>
      <w:r>
        <w:t xml:space="preserve"> problems</w:t>
      </w:r>
      <w:r w:rsidR="00FA7130">
        <w:t xml:space="preserve"> and </w:t>
      </w:r>
      <w:r>
        <w:t xml:space="preserve">with </w:t>
      </w:r>
      <w:r w:rsidR="00ED3618">
        <w:t xml:space="preserve">visual </w:t>
      </w:r>
      <w:r>
        <w:t>impairments</w:t>
      </w:r>
      <w:r w:rsidR="00FA7130">
        <w:t>.</w:t>
      </w:r>
      <w:r w:rsidR="006B2A4E">
        <w:t xml:space="preserve"> The </w:t>
      </w:r>
      <w:r>
        <w:t xml:space="preserve">report </w:t>
      </w:r>
      <w:r w:rsidR="006B2A4E">
        <w:t>acknowledges</w:t>
      </w:r>
      <w:r w:rsidR="0016400D">
        <w:t xml:space="preserve"> the</w:t>
      </w:r>
      <w:r>
        <w:t xml:space="preserve"> limited impact of the Labour Office </w:t>
      </w:r>
      <w:r w:rsidR="000D5FEC">
        <w:t>policies in supporting employer</w:t>
      </w:r>
      <w:r>
        <w:t xml:space="preserve">s to employ disabled people. Virtually all the employers </w:t>
      </w:r>
      <w:r w:rsidR="000D5FEC">
        <w:t>asked</w:t>
      </w:r>
      <w:r>
        <w:t xml:space="preserve"> </w:t>
      </w:r>
      <w:r w:rsidR="006B2A4E">
        <w:t xml:space="preserve">in the survey </w:t>
      </w:r>
      <w:r>
        <w:t xml:space="preserve">agreed that the </w:t>
      </w:r>
      <w:r w:rsidR="000D5FEC">
        <w:t>intervention</w:t>
      </w:r>
      <w:r w:rsidR="006B2A4E">
        <w:t>s</w:t>
      </w:r>
      <w:r>
        <w:t xml:space="preserve"> and</w:t>
      </w:r>
      <w:r w:rsidR="00ED3618">
        <w:t xml:space="preserve"> consultancy </w:t>
      </w:r>
      <w:r w:rsidR="000D5FEC">
        <w:t xml:space="preserve">carried out by </w:t>
      </w:r>
      <w:r>
        <w:t xml:space="preserve">the </w:t>
      </w:r>
      <w:r w:rsidR="008166B7">
        <w:t>Labour</w:t>
      </w:r>
      <w:r>
        <w:t xml:space="preserve"> Office </w:t>
      </w:r>
      <w:r w:rsidR="0016400D">
        <w:t xml:space="preserve">brought no </w:t>
      </w:r>
      <w:r w:rsidR="008166B7">
        <w:t>benefit</w:t>
      </w:r>
      <w:r w:rsidR="000D5FEC">
        <w:t xml:space="preserve"> to the employers</w:t>
      </w:r>
      <w:r>
        <w:t>.</w:t>
      </w:r>
      <w:r w:rsidR="008166B7">
        <w:rPr>
          <w:rStyle w:val="FootnoteReference"/>
        </w:rPr>
        <w:footnoteReference w:id="11"/>
      </w:r>
    </w:p>
    <w:p w14:paraId="18CFF3EC" w14:textId="77777777" w:rsidR="00686A59" w:rsidRDefault="00686A59" w:rsidP="006740A5">
      <w:pPr>
        <w:jc w:val="both"/>
      </w:pPr>
    </w:p>
    <w:p w14:paraId="7CCD50DD" w14:textId="1EBC9EBD" w:rsidR="00686A59" w:rsidRDefault="00686A59" w:rsidP="006740A5">
      <w:pPr>
        <w:jc w:val="both"/>
      </w:pPr>
      <w:r w:rsidRPr="00566431">
        <w:t>Amendment of the current active employment policy instruments to better facilitate employment opportunities for disable</w:t>
      </w:r>
      <w:r w:rsidRPr="000C41FF">
        <w:t>d people in the open labour market should be considered</w:t>
      </w:r>
      <w:r w:rsidRPr="00B25DFD">
        <w:rPr>
          <w:lang w:eastAsia="en-GB"/>
        </w:rPr>
        <w:t xml:space="preserve"> (ESF funding is crucial in the Czech investment in ALMP)</w:t>
      </w:r>
      <w:r w:rsidRPr="00686A59">
        <w:t>. In addition, person-centred approach needs to be applied in practice of Labour Office personnel while supporting disabled people.</w:t>
      </w:r>
      <w:r>
        <w:t xml:space="preserve"> The following examples address the main employment disability policy measures.</w:t>
      </w:r>
      <w:r w:rsidR="00007312">
        <w:t xml:space="preserve"> The </w:t>
      </w:r>
      <w:r w:rsidR="00052A10">
        <w:t xml:space="preserve">recent LMP </w:t>
      </w:r>
      <w:r w:rsidR="00007312">
        <w:t>participation data reported to Eurostat</w:t>
      </w:r>
      <w:r w:rsidR="00052A10">
        <w:t>, including disability programmes,</w:t>
      </w:r>
      <w:r w:rsidR="00007312">
        <w:t xml:space="preserve"> is summarised in annex (</w:t>
      </w:r>
      <w:r w:rsidR="00007312">
        <w:fldChar w:fldCharType="begin"/>
      </w:r>
      <w:r w:rsidR="00007312">
        <w:instrText xml:space="preserve"> REF _Ref525654279 \h </w:instrText>
      </w:r>
      <w:r w:rsidR="00875F7E">
        <w:instrText xml:space="preserve"> \* MERGEFORMAT </w:instrText>
      </w:r>
      <w:r w:rsidR="00007312">
        <w:fldChar w:fldCharType="separate"/>
      </w:r>
      <w:r w:rsidR="00B25DFD">
        <w:t xml:space="preserve">Table </w:t>
      </w:r>
      <w:r w:rsidR="00B25DFD">
        <w:rPr>
          <w:noProof/>
        </w:rPr>
        <w:t>12</w:t>
      </w:r>
      <w:r w:rsidR="00007312">
        <w:fldChar w:fldCharType="end"/>
      </w:r>
      <w:r w:rsidR="00007312">
        <w:t>).</w:t>
      </w:r>
    </w:p>
    <w:p w14:paraId="36668699" w14:textId="77777777" w:rsidR="00FA7130" w:rsidRDefault="00FA7130" w:rsidP="006740A5">
      <w:pPr>
        <w:pStyle w:val="ListParagraph"/>
        <w:ind w:left="0"/>
        <w:jc w:val="both"/>
      </w:pPr>
    </w:p>
    <w:p w14:paraId="76529548" w14:textId="35398812" w:rsidR="00686A59" w:rsidRPr="00B25DFD" w:rsidRDefault="00686A59" w:rsidP="006740A5">
      <w:pPr>
        <w:pStyle w:val="ListParagraph"/>
        <w:ind w:left="0"/>
        <w:jc w:val="both"/>
        <w:rPr>
          <w:b/>
        </w:rPr>
      </w:pPr>
      <w:r w:rsidRPr="00B25DFD">
        <w:rPr>
          <w:b/>
        </w:rPr>
        <w:t xml:space="preserve">Vocational rehabilitation </w:t>
      </w:r>
    </w:p>
    <w:p w14:paraId="7A674BC4" w14:textId="37586725" w:rsidR="0016400D" w:rsidRDefault="00FC613C" w:rsidP="006740A5">
      <w:pPr>
        <w:pStyle w:val="ListParagraph"/>
        <w:ind w:left="0"/>
        <w:jc w:val="both"/>
      </w:pPr>
      <w:r>
        <w:t xml:space="preserve">As reported </w:t>
      </w:r>
      <w:r w:rsidR="0016400D">
        <w:t>in previous years</w:t>
      </w:r>
      <w:r>
        <w:t>, t</w:t>
      </w:r>
      <w:r w:rsidRPr="00D95187">
        <w:t xml:space="preserve">he area of coordinated </w:t>
      </w:r>
      <w:r w:rsidR="0016400D">
        <w:t xml:space="preserve">vocational </w:t>
      </w:r>
      <w:r w:rsidRPr="00D95187">
        <w:t>rehabi</w:t>
      </w:r>
      <w:r>
        <w:t xml:space="preserve">litation is considered </w:t>
      </w:r>
      <w:r w:rsidR="008E3F77">
        <w:t xml:space="preserve">in number of disability related strategies </w:t>
      </w:r>
      <w:r w:rsidR="00CA1E07">
        <w:t xml:space="preserve">as </w:t>
      </w:r>
      <w:r w:rsidR="006B2A4E">
        <w:t>the key element</w:t>
      </w:r>
      <w:r w:rsidR="008166B7">
        <w:t xml:space="preserve"> </w:t>
      </w:r>
      <w:r w:rsidR="006B2A4E">
        <w:t xml:space="preserve">in </w:t>
      </w:r>
      <w:r w:rsidRPr="00D95187">
        <w:t>support syste</w:t>
      </w:r>
      <w:r>
        <w:t>m for people with disabilities</w:t>
      </w:r>
      <w:r w:rsidR="008E3F77">
        <w:t xml:space="preserve"> (</w:t>
      </w:r>
      <w:r w:rsidR="0016400D">
        <w:t xml:space="preserve">e.g. </w:t>
      </w:r>
      <w:r w:rsidR="008E3F77">
        <w:t xml:space="preserve">National </w:t>
      </w:r>
      <w:r w:rsidR="00B1768F">
        <w:t>Disability</w:t>
      </w:r>
      <w:r w:rsidR="008E3F77">
        <w:t xml:space="preserve"> Plan 2015-2020</w:t>
      </w:r>
      <w:r w:rsidR="0016400D">
        <w:t>,</w:t>
      </w:r>
      <w:r w:rsidR="00B1768F">
        <w:rPr>
          <w:rStyle w:val="FootnoteReference"/>
        </w:rPr>
        <w:footnoteReference w:id="12"/>
      </w:r>
      <w:r w:rsidR="008E3F77">
        <w:t xml:space="preserve"> National Employment Strategy 2017</w:t>
      </w:r>
      <w:r w:rsidR="00C4564A">
        <w:t>).</w:t>
      </w:r>
      <w:r w:rsidR="00B1768F">
        <w:rPr>
          <w:rStyle w:val="FootnoteReference"/>
        </w:rPr>
        <w:footnoteReference w:id="13"/>
      </w:r>
      <w:r w:rsidRPr="00D95187">
        <w:t xml:space="preserve"> </w:t>
      </w:r>
      <w:r w:rsidR="0016400D">
        <w:t xml:space="preserve">Eligibility for such measures is dependent on recommendation of the Labour Office, after prevocational assessment, or the capacity of NGOs to fund it. </w:t>
      </w:r>
      <w:r>
        <w:t xml:space="preserve">There have been </w:t>
      </w:r>
      <w:r w:rsidR="0016400D">
        <w:t xml:space="preserve">various </w:t>
      </w:r>
      <w:r>
        <w:t>efforts to formulate theses of coordinated rehabilitation</w:t>
      </w:r>
      <w:r w:rsidR="00B535D9">
        <w:t xml:space="preserve">. </w:t>
      </w:r>
      <w:r w:rsidR="006F7988">
        <w:t>he initial</w:t>
      </w:r>
      <w:r w:rsidR="00D600AD">
        <w:t xml:space="preserve"> proposal was prepared in 1998. </w:t>
      </w:r>
      <w:r w:rsidR="00A611FF">
        <w:t>The m</w:t>
      </w:r>
      <w:r w:rsidR="00B535D9">
        <w:t xml:space="preserve">ost recent </w:t>
      </w:r>
      <w:r w:rsidR="004A2B97">
        <w:t xml:space="preserve">one </w:t>
      </w:r>
      <w:r w:rsidR="00B535D9">
        <w:t>is from 2016.</w:t>
      </w:r>
      <w:r w:rsidR="00105923">
        <w:rPr>
          <w:rStyle w:val="FootnoteReference"/>
        </w:rPr>
        <w:footnoteReference w:id="14"/>
      </w:r>
      <w:r w:rsidR="006915AC">
        <w:t xml:space="preserve"> U</w:t>
      </w:r>
      <w:r>
        <w:t>p-to-date, co-ordinated rehabilitation has not been introduced</w:t>
      </w:r>
      <w:r w:rsidR="006F7988">
        <w:t xml:space="preserve">. </w:t>
      </w:r>
    </w:p>
    <w:p w14:paraId="13452DDD" w14:textId="77777777" w:rsidR="0016400D" w:rsidRDefault="0016400D" w:rsidP="006740A5">
      <w:pPr>
        <w:pStyle w:val="ListParagraph"/>
        <w:ind w:left="0"/>
        <w:jc w:val="both"/>
      </w:pPr>
    </w:p>
    <w:p w14:paraId="5B967C3E" w14:textId="23B2EA12" w:rsidR="00FC613C" w:rsidRDefault="006F7988" w:rsidP="006740A5">
      <w:pPr>
        <w:pStyle w:val="ListParagraph"/>
        <w:ind w:left="0"/>
        <w:jc w:val="both"/>
      </w:pPr>
      <w:r>
        <w:lastRenderedPageBreak/>
        <w:t>S</w:t>
      </w:r>
      <w:r w:rsidR="00FC613C">
        <w:t>upport for pe</w:t>
      </w:r>
      <w:r>
        <w:t xml:space="preserve">rsons with disabilities continues to be </w:t>
      </w:r>
      <w:r w:rsidR="00FC613C">
        <w:t xml:space="preserve">fragmented into health care, education and training, vocational rehabilitation and social services. </w:t>
      </w:r>
      <w:r w:rsidR="0016400D">
        <w:t>In principle, the system is based on co-operation between agencies but in practice this is not well developed. There is has been a high demand on Labour Offices, resulting in a lack of capacity for well-co-ordinated responses or effective data sharing.</w:t>
      </w:r>
      <w:r w:rsidR="00A611FF">
        <w:rPr>
          <w:rStyle w:val="FootnoteReference"/>
        </w:rPr>
        <w:footnoteReference w:id="15"/>
      </w:r>
      <w:r w:rsidR="0016400D">
        <w:t xml:space="preserve"> </w:t>
      </w:r>
      <w:r w:rsidR="00686A59" w:rsidRPr="00686A59">
        <w:t>There has been an increase in the number of people with disabilities engaged vocational rehabilitation. However, the number of individual employment rehabilitation plans remains low.</w:t>
      </w:r>
    </w:p>
    <w:p w14:paraId="0C94FA1D" w14:textId="77777777" w:rsidR="008F09FB" w:rsidRDefault="008F09FB" w:rsidP="006740A5">
      <w:pPr>
        <w:jc w:val="both"/>
        <w:rPr>
          <w:bCs/>
          <w:lang w:eastAsia="en-GB"/>
        </w:rPr>
      </w:pPr>
    </w:p>
    <w:p w14:paraId="7B25EF48" w14:textId="795987B3" w:rsidR="00686A59" w:rsidRPr="00B25DFD" w:rsidRDefault="00686A59" w:rsidP="006740A5">
      <w:pPr>
        <w:jc w:val="both"/>
        <w:rPr>
          <w:b/>
        </w:rPr>
      </w:pPr>
      <w:r w:rsidRPr="00B25DFD">
        <w:rPr>
          <w:b/>
        </w:rPr>
        <w:t>Counselling</w:t>
      </w:r>
    </w:p>
    <w:p w14:paraId="7519314F" w14:textId="0ACD2B8D" w:rsidR="000849C1" w:rsidRDefault="00686A59" w:rsidP="006740A5">
      <w:pPr>
        <w:jc w:val="both"/>
      </w:pPr>
      <w:r>
        <w:t>The n</w:t>
      </w:r>
      <w:r w:rsidR="000849C1">
        <w:t xml:space="preserve">umber of </w:t>
      </w:r>
      <w:r w:rsidR="000849C1" w:rsidRPr="00FC1299">
        <w:t xml:space="preserve">people with disabilities </w:t>
      </w:r>
      <w:r w:rsidR="000849C1">
        <w:t xml:space="preserve">engaged in </w:t>
      </w:r>
      <w:r w:rsidR="000849C1" w:rsidRPr="00FC1299">
        <w:t xml:space="preserve">individual and group counselling </w:t>
      </w:r>
      <w:r w:rsidRPr="00686A59">
        <w:t>(</w:t>
      </w:r>
      <w:proofErr w:type="spellStart"/>
      <w:r w:rsidRPr="00B25DFD">
        <w:rPr>
          <w:i/>
        </w:rPr>
        <w:t>poradenské</w:t>
      </w:r>
      <w:proofErr w:type="spellEnd"/>
      <w:r w:rsidRPr="00B25DFD">
        <w:rPr>
          <w:i/>
        </w:rPr>
        <w:t xml:space="preserve"> </w:t>
      </w:r>
      <w:proofErr w:type="spellStart"/>
      <w:r w:rsidRPr="00B25DFD">
        <w:rPr>
          <w:i/>
        </w:rPr>
        <w:t>programy</w:t>
      </w:r>
      <w:proofErr w:type="spellEnd"/>
      <w:r w:rsidRPr="00686A59">
        <w:t xml:space="preserve">) </w:t>
      </w:r>
      <w:r w:rsidR="000849C1" w:rsidRPr="00FC1299">
        <w:t>activities</w:t>
      </w:r>
      <w:r w:rsidR="000849C1">
        <w:t xml:space="preserve"> </w:t>
      </w:r>
      <w:r w:rsidR="006B2A4E">
        <w:t xml:space="preserve">carrier by the Labour Office </w:t>
      </w:r>
      <w:r w:rsidR="000849C1">
        <w:t>increased during 2016 and 2017</w:t>
      </w:r>
      <w:r w:rsidR="000849C1" w:rsidRPr="00FC1299">
        <w:t xml:space="preserve">. </w:t>
      </w:r>
      <w:r>
        <w:t xml:space="preserve">These programmes are aimed more at communication and presentational skills, job search and IT skills. </w:t>
      </w:r>
    </w:p>
    <w:p w14:paraId="38F3E903" w14:textId="77777777" w:rsidR="000849C1" w:rsidRDefault="000849C1" w:rsidP="006740A5">
      <w:pPr>
        <w:jc w:val="both"/>
      </w:pPr>
    </w:p>
    <w:p w14:paraId="7AB7E99E" w14:textId="7C8A3B85" w:rsidR="00686A59" w:rsidRPr="00B25DFD" w:rsidRDefault="00686A59" w:rsidP="006740A5">
      <w:pPr>
        <w:jc w:val="both"/>
        <w:rPr>
          <w:b/>
          <w:bCs/>
          <w:lang w:eastAsia="en-GB"/>
        </w:rPr>
      </w:pPr>
      <w:r w:rsidRPr="00B25DFD">
        <w:rPr>
          <w:b/>
          <w:bCs/>
          <w:lang w:eastAsia="en-GB"/>
        </w:rPr>
        <w:t>Sheltered employment</w:t>
      </w:r>
    </w:p>
    <w:p w14:paraId="426D9026" w14:textId="7C0C6635" w:rsidR="00686A59" w:rsidRDefault="008E3F77" w:rsidP="006740A5">
      <w:pPr>
        <w:jc w:val="both"/>
        <w:rPr>
          <w:bCs/>
          <w:lang w:eastAsia="en-GB"/>
        </w:rPr>
      </w:pPr>
      <w:r w:rsidRPr="00CA1E07">
        <w:rPr>
          <w:bCs/>
          <w:lang w:eastAsia="en-GB"/>
        </w:rPr>
        <w:t>At prese</w:t>
      </w:r>
      <w:r w:rsidR="006B2A4E">
        <w:rPr>
          <w:bCs/>
          <w:lang w:eastAsia="en-GB"/>
        </w:rPr>
        <w:t xml:space="preserve">nt, support instruments for </w:t>
      </w:r>
      <w:r w:rsidRPr="00CA1E07">
        <w:rPr>
          <w:bCs/>
          <w:lang w:eastAsia="en-GB"/>
        </w:rPr>
        <w:t>employment of people with disabilities</w:t>
      </w:r>
      <w:r w:rsidR="00CA1E07" w:rsidRPr="00CA1E07">
        <w:rPr>
          <w:bCs/>
          <w:lang w:eastAsia="en-GB"/>
        </w:rPr>
        <w:t xml:space="preserve"> focus primarily</w:t>
      </w:r>
      <w:r w:rsidR="006B2A4E">
        <w:rPr>
          <w:bCs/>
          <w:lang w:eastAsia="en-GB"/>
        </w:rPr>
        <w:t xml:space="preserve"> on supporting </w:t>
      </w:r>
      <w:r w:rsidRPr="00CA1E07">
        <w:rPr>
          <w:bCs/>
          <w:lang w:eastAsia="en-GB"/>
        </w:rPr>
        <w:t xml:space="preserve">employment of </w:t>
      </w:r>
      <w:r w:rsidR="00CA1E07" w:rsidRPr="00CA1E07">
        <w:rPr>
          <w:bCs/>
          <w:lang w:eastAsia="en-GB"/>
        </w:rPr>
        <w:t xml:space="preserve">disabled people in </w:t>
      </w:r>
      <w:r w:rsidRPr="00CA1E07">
        <w:rPr>
          <w:bCs/>
          <w:lang w:eastAsia="en-GB"/>
        </w:rPr>
        <w:t xml:space="preserve">sheltered </w:t>
      </w:r>
      <w:r w:rsidR="00CA1E07" w:rsidRPr="00CA1E07">
        <w:rPr>
          <w:bCs/>
          <w:lang w:eastAsia="en-GB"/>
        </w:rPr>
        <w:t>employment</w:t>
      </w:r>
      <w:r w:rsidR="00257D2A">
        <w:rPr>
          <w:bCs/>
          <w:lang w:eastAsia="en-GB"/>
        </w:rPr>
        <w:t xml:space="preserve"> </w:t>
      </w:r>
      <w:r w:rsidR="00257D2A" w:rsidRPr="00257D2A">
        <w:rPr>
          <w:bCs/>
          <w:lang w:eastAsia="en-GB"/>
        </w:rPr>
        <w:t>(</w:t>
      </w:r>
      <w:proofErr w:type="spellStart"/>
      <w:r w:rsidR="00257D2A" w:rsidRPr="00B25DFD">
        <w:rPr>
          <w:bCs/>
          <w:i/>
          <w:lang w:eastAsia="en-GB"/>
        </w:rPr>
        <w:t>chráněné</w:t>
      </w:r>
      <w:proofErr w:type="spellEnd"/>
      <w:r w:rsidR="00257D2A" w:rsidRPr="00B25DFD">
        <w:rPr>
          <w:bCs/>
          <w:i/>
          <w:lang w:eastAsia="en-GB"/>
        </w:rPr>
        <w:t xml:space="preserve"> </w:t>
      </w:r>
      <w:proofErr w:type="spellStart"/>
      <w:r w:rsidR="00257D2A" w:rsidRPr="00B25DFD">
        <w:rPr>
          <w:bCs/>
          <w:i/>
          <w:lang w:eastAsia="en-GB"/>
        </w:rPr>
        <w:t>pracovní</w:t>
      </w:r>
      <w:proofErr w:type="spellEnd"/>
      <w:r w:rsidR="00257D2A" w:rsidRPr="00B25DFD">
        <w:rPr>
          <w:bCs/>
          <w:i/>
          <w:lang w:eastAsia="en-GB"/>
        </w:rPr>
        <w:t xml:space="preserve"> </w:t>
      </w:r>
      <w:proofErr w:type="spellStart"/>
      <w:r w:rsidR="00257D2A" w:rsidRPr="00B25DFD">
        <w:rPr>
          <w:bCs/>
          <w:i/>
          <w:lang w:eastAsia="en-GB"/>
        </w:rPr>
        <w:t>místo</w:t>
      </w:r>
      <w:proofErr w:type="spellEnd"/>
      <w:r w:rsidR="00257D2A" w:rsidRPr="00257D2A">
        <w:rPr>
          <w:bCs/>
          <w:lang w:eastAsia="en-GB"/>
        </w:rPr>
        <w:t>)</w:t>
      </w:r>
      <w:r w:rsidRPr="00CA1E07">
        <w:rPr>
          <w:bCs/>
          <w:lang w:eastAsia="en-GB"/>
        </w:rPr>
        <w:t>.</w:t>
      </w:r>
      <w:r w:rsidR="00CA1E07" w:rsidRPr="00CA1E07">
        <w:rPr>
          <w:rStyle w:val="FootnoteReference"/>
          <w:bCs/>
          <w:lang w:eastAsia="en-GB"/>
        </w:rPr>
        <w:footnoteReference w:id="16"/>
      </w:r>
      <w:r w:rsidR="00ED3618">
        <w:rPr>
          <w:bCs/>
          <w:lang w:eastAsia="en-GB"/>
        </w:rPr>
        <w:t xml:space="preserve"> </w:t>
      </w:r>
      <w:r w:rsidR="00052A10">
        <w:rPr>
          <w:bCs/>
          <w:lang w:eastAsia="en-GB"/>
        </w:rPr>
        <w:t xml:space="preserve">According to data reported to Eurostat, there were </w:t>
      </w:r>
      <w:r w:rsidR="00052A10" w:rsidRPr="00052A10">
        <w:rPr>
          <w:bCs/>
          <w:lang w:eastAsia="en-GB"/>
        </w:rPr>
        <w:t>1,726</w:t>
      </w:r>
      <w:r w:rsidR="00052A10">
        <w:rPr>
          <w:bCs/>
          <w:lang w:eastAsia="en-GB"/>
        </w:rPr>
        <w:t xml:space="preserve"> recipients of ‘c</w:t>
      </w:r>
      <w:r w:rsidR="00052A10" w:rsidRPr="00052A10">
        <w:rPr>
          <w:bCs/>
          <w:lang w:eastAsia="en-GB"/>
        </w:rPr>
        <w:t>ontribution to employers for establishing and running sheltered workshops and working places</w:t>
      </w:r>
      <w:r w:rsidR="00052A10">
        <w:rPr>
          <w:bCs/>
          <w:lang w:eastAsia="en-GB"/>
        </w:rPr>
        <w:t>’</w:t>
      </w:r>
      <w:r w:rsidR="00052A10" w:rsidRPr="00052A10">
        <w:rPr>
          <w:bCs/>
          <w:lang w:eastAsia="en-GB"/>
        </w:rPr>
        <w:t xml:space="preserve"> </w:t>
      </w:r>
      <w:r w:rsidR="00052A10">
        <w:rPr>
          <w:bCs/>
          <w:lang w:eastAsia="en-GB"/>
        </w:rPr>
        <w:t xml:space="preserve">in 2016, and </w:t>
      </w:r>
      <w:r w:rsidR="00052A10" w:rsidRPr="00052A10">
        <w:rPr>
          <w:bCs/>
          <w:lang w:eastAsia="en-GB"/>
        </w:rPr>
        <w:t>34,900</w:t>
      </w:r>
      <w:r w:rsidR="00052A10">
        <w:rPr>
          <w:bCs/>
          <w:lang w:eastAsia="en-GB"/>
        </w:rPr>
        <w:t xml:space="preserve"> for ‘c</w:t>
      </w:r>
      <w:r w:rsidR="00052A10" w:rsidRPr="00052A10">
        <w:rPr>
          <w:bCs/>
          <w:lang w:eastAsia="en-GB"/>
        </w:rPr>
        <w:t>ontribution to employers for whom more than 50% of employees are disabled persons</w:t>
      </w:r>
      <w:r w:rsidR="00052A10">
        <w:rPr>
          <w:bCs/>
          <w:lang w:eastAsia="en-GB"/>
        </w:rPr>
        <w:t xml:space="preserve">’ (see </w:t>
      </w:r>
      <w:r w:rsidR="00052A10">
        <w:rPr>
          <w:bCs/>
          <w:lang w:eastAsia="en-GB"/>
        </w:rPr>
        <w:fldChar w:fldCharType="begin"/>
      </w:r>
      <w:r w:rsidR="00052A10">
        <w:rPr>
          <w:bCs/>
          <w:lang w:eastAsia="en-GB"/>
        </w:rPr>
        <w:instrText xml:space="preserve"> REF _Ref525654279 \h </w:instrText>
      </w:r>
      <w:r w:rsidR="00875F7E">
        <w:rPr>
          <w:bCs/>
          <w:lang w:eastAsia="en-GB"/>
        </w:rPr>
        <w:instrText xml:space="preserve"> \* MERGEFORMAT </w:instrText>
      </w:r>
      <w:r w:rsidR="00052A10">
        <w:rPr>
          <w:bCs/>
          <w:lang w:eastAsia="en-GB"/>
        </w:rPr>
      </w:r>
      <w:r w:rsidR="00052A10">
        <w:rPr>
          <w:bCs/>
          <w:lang w:eastAsia="en-GB"/>
        </w:rPr>
        <w:fldChar w:fldCharType="separate"/>
      </w:r>
      <w:r w:rsidR="00B25DFD">
        <w:t xml:space="preserve">Table </w:t>
      </w:r>
      <w:r w:rsidR="00B25DFD">
        <w:rPr>
          <w:noProof/>
        </w:rPr>
        <w:t>12</w:t>
      </w:r>
      <w:r w:rsidR="00052A10">
        <w:rPr>
          <w:bCs/>
          <w:lang w:eastAsia="en-GB"/>
        </w:rPr>
        <w:fldChar w:fldCharType="end"/>
      </w:r>
      <w:r w:rsidR="00052A10">
        <w:rPr>
          <w:bCs/>
          <w:lang w:eastAsia="en-GB"/>
        </w:rPr>
        <w:t xml:space="preserve">). </w:t>
      </w:r>
    </w:p>
    <w:p w14:paraId="2C41C178" w14:textId="77777777" w:rsidR="00686A59" w:rsidRDefault="00686A59" w:rsidP="006740A5">
      <w:pPr>
        <w:jc w:val="both"/>
        <w:rPr>
          <w:bCs/>
          <w:lang w:eastAsia="en-GB"/>
        </w:rPr>
      </w:pPr>
    </w:p>
    <w:p w14:paraId="1EC72224" w14:textId="2B4A42AC" w:rsidR="00566431" w:rsidRDefault="00360D01" w:rsidP="006740A5">
      <w:pPr>
        <w:jc w:val="both"/>
      </w:pPr>
      <w:r>
        <w:rPr>
          <w:bCs/>
          <w:lang w:eastAsia="en-GB"/>
        </w:rPr>
        <w:t>E</w:t>
      </w:r>
      <w:r w:rsidR="00686A59">
        <w:rPr>
          <w:bCs/>
          <w:lang w:eastAsia="en-GB"/>
        </w:rPr>
        <w:t xml:space="preserve">mployers </w:t>
      </w:r>
      <w:r>
        <w:rPr>
          <w:bCs/>
          <w:lang w:eastAsia="en-GB"/>
        </w:rPr>
        <w:t xml:space="preserve">often </w:t>
      </w:r>
      <w:r w:rsidR="00686A59">
        <w:rPr>
          <w:bCs/>
          <w:lang w:eastAsia="en-GB"/>
        </w:rPr>
        <w:t xml:space="preserve">prefer to fulfil the </w:t>
      </w:r>
      <w:r w:rsidR="00566431">
        <w:rPr>
          <w:bCs/>
          <w:lang w:eastAsia="en-GB"/>
        </w:rPr>
        <w:t xml:space="preserve">employment </w:t>
      </w:r>
      <w:r w:rsidR="00686A59">
        <w:rPr>
          <w:bCs/>
          <w:lang w:eastAsia="en-GB"/>
        </w:rPr>
        <w:t>quota by compensatory fulfilments rather than by contracting disabled people</w:t>
      </w:r>
      <w:r>
        <w:rPr>
          <w:bCs/>
          <w:lang w:eastAsia="en-GB"/>
        </w:rPr>
        <w:t xml:space="preserve"> </w:t>
      </w:r>
      <w:r w:rsidRPr="007D50D0">
        <w:t>(</w:t>
      </w:r>
      <w:r>
        <w:t xml:space="preserve">e.g. </w:t>
      </w:r>
      <w:r w:rsidRPr="007D50D0">
        <w:t xml:space="preserve">procuring products </w:t>
      </w:r>
      <w:r>
        <w:t>from</w:t>
      </w:r>
      <w:r w:rsidRPr="007D50D0">
        <w:t xml:space="preserve"> sheltered workshops instead of direct employment of disabled persons)</w:t>
      </w:r>
      <w:r w:rsidR="00686A59">
        <w:rPr>
          <w:bCs/>
          <w:lang w:eastAsia="en-GB"/>
        </w:rPr>
        <w:t xml:space="preserve">. </w:t>
      </w:r>
      <w:r w:rsidR="00CA1E07" w:rsidRPr="007D50D0">
        <w:t>M</w:t>
      </w:r>
      <w:r w:rsidR="000849C1" w:rsidRPr="007D50D0">
        <w:t>isuse o</w:t>
      </w:r>
      <w:r w:rsidR="004F5B3A">
        <w:t xml:space="preserve">f </w:t>
      </w:r>
      <w:r w:rsidR="00566431">
        <w:t xml:space="preserve">the </w:t>
      </w:r>
      <w:r w:rsidR="004F5B3A">
        <w:t>financial incentives</w:t>
      </w:r>
      <w:r w:rsidR="000849C1" w:rsidRPr="007D50D0">
        <w:t xml:space="preserve"> by some </w:t>
      </w:r>
      <w:r w:rsidR="00ED3618">
        <w:t xml:space="preserve">employers has been reported for </w:t>
      </w:r>
      <w:r w:rsidR="00566431">
        <w:t xml:space="preserve">a </w:t>
      </w:r>
      <w:r w:rsidR="000849C1" w:rsidRPr="007D50D0">
        <w:t>decade</w:t>
      </w:r>
      <w:r w:rsidR="008166B7" w:rsidRPr="007D50D0">
        <w:t xml:space="preserve"> </w:t>
      </w:r>
      <w:r w:rsidR="00566431">
        <w:t>along with the</w:t>
      </w:r>
      <w:r w:rsidR="008166B7" w:rsidRPr="007D50D0">
        <w:t xml:space="preserve"> limited effectiveness of the compensatory quota</w:t>
      </w:r>
      <w:r w:rsidR="000849C1" w:rsidRPr="007D50D0">
        <w:t xml:space="preserve">. </w:t>
      </w:r>
      <w:r w:rsidR="007D50D0" w:rsidRPr="007D50D0">
        <w:t>To prevent such misconduct, t</w:t>
      </w:r>
      <w:r w:rsidR="00B1768F" w:rsidRPr="007D50D0">
        <w:t xml:space="preserve">he Amendment to </w:t>
      </w:r>
      <w:r w:rsidR="00B94969" w:rsidRPr="007D50D0">
        <w:t>Employment</w:t>
      </w:r>
      <w:r w:rsidR="004F5B3A">
        <w:t xml:space="preserve"> Act 435</w:t>
      </w:r>
      <w:r w:rsidR="00B1768F" w:rsidRPr="007D50D0">
        <w:t xml:space="preserve"> introduce</w:t>
      </w:r>
      <w:r w:rsidR="000849C1" w:rsidRPr="007D50D0">
        <w:t>d</w:t>
      </w:r>
      <w:r w:rsidR="00B1768F" w:rsidRPr="007D50D0">
        <w:t xml:space="preserve"> the term </w:t>
      </w:r>
      <w:r w:rsidR="00566431">
        <w:t>‘</w:t>
      </w:r>
      <w:r w:rsidR="00B1768F" w:rsidRPr="007D50D0">
        <w:t>sheltered labour market</w:t>
      </w:r>
      <w:r w:rsidR="00566431">
        <w:t>’</w:t>
      </w:r>
      <w:r w:rsidR="00B1768F" w:rsidRPr="007D50D0">
        <w:t xml:space="preserve"> as of 1 January 2018. Only employers</w:t>
      </w:r>
      <w:r w:rsidR="0021177B">
        <w:t>,</w:t>
      </w:r>
      <w:r w:rsidR="00B1768F" w:rsidRPr="007D50D0">
        <w:t xml:space="preserve"> who employ more than 50% of people with disabilities out of the total number of their employees</w:t>
      </w:r>
      <w:r w:rsidR="00566431">
        <w:t>,</w:t>
      </w:r>
      <w:r w:rsidR="00B1768F" w:rsidRPr="007D50D0">
        <w:t xml:space="preserve"> and with whom the Labour Office</w:t>
      </w:r>
      <w:r w:rsidR="00566431">
        <w:t>,</w:t>
      </w:r>
      <w:r w:rsidR="00B1768F" w:rsidRPr="007D50D0">
        <w:t xml:space="preserve"> has settled a written </w:t>
      </w:r>
      <w:r w:rsidR="007D50D0" w:rsidRPr="007D50D0">
        <w:t>contract on their recognition as</w:t>
      </w:r>
      <w:r w:rsidR="00B1768F" w:rsidRPr="007D50D0">
        <w:t xml:space="preserve"> employer</w:t>
      </w:r>
      <w:r w:rsidR="007D50D0" w:rsidRPr="007D50D0">
        <w:t xml:space="preserve">s in the </w:t>
      </w:r>
      <w:r w:rsidR="00B1768F" w:rsidRPr="007D50D0">
        <w:t>sheltered labour market</w:t>
      </w:r>
      <w:r w:rsidR="0021177B">
        <w:t>,</w:t>
      </w:r>
      <w:r w:rsidR="00B1768F" w:rsidRPr="007D50D0">
        <w:t xml:space="preserve"> are considered as sheltered workshop</w:t>
      </w:r>
      <w:r w:rsidR="007D50D0" w:rsidRPr="007D50D0">
        <w:t>s</w:t>
      </w:r>
      <w:r w:rsidR="000849C1" w:rsidRPr="007D50D0">
        <w:t xml:space="preserve"> and </w:t>
      </w:r>
      <w:r w:rsidR="00ED3618">
        <w:t>eligible for financial incentive</w:t>
      </w:r>
      <w:r w:rsidR="0021177B">
        <w:t>s</w:t>
      </w:r>
      <w:r w:rsidR="00B1768F" w:rsidRPr="007D50D0">
        <w:t xml:space="preserve">. </w:t>
      </w:r>
    </w:p>
    <w:p w14:paraId="2CAA23E8" w14:textId="77777777" w:rsidR="00566431" w:rsidRDefault="00566431" w:rsidP="006740A5">
      <w:pPr>
        <w:jc w:val="both"/>
      </w:pPr>
    </w:p>
    <w:p w14:paraId="5575D222" w14:textId="5AEC91C8" w:rsidR="00D0292C" w:rsidRDefault="00B94969" w:rsidP="006740A5">
      <w:pPr>
        <w:jc w:val="both"/>
      </w:pPr>
      <w:r w:rsidRPr="007D50D0">
        <w:t>It is</w:t>
      </w:r>
      <w:r w:rsidR="004F5B3A">
        <w:t xml:space="preserve"> expected that this measure s</w:t>
      </w:r>
      <w:r w:rsidR="0021177B">
        <w:t>hould</w:t>
      </w:r>
      <w:r w:rsidRPr="007D50D0">
        <w:t xml:space="preserve"> </w:t>
      </w:r>
      <w:r w:rsidR="007D50D0" w:rsidRPr="007D50D0">
        <w:t xml:space="preserve">eliminate </w:t>
      </w:r>
      <w:r w:rsidRPr="007D50D0">
        <w:t xml:space="preserve">misuse of </w:t>
      </w:r>
      <w:r w:rsidR="0021177B">
        <w:t xml:space="preserve">the incentives. </w:t>
      </w:r>
      <w:r w:rsidR="007D50D0" w:rsidRPr="007D50D0">
        <w:t>In addition, t</w:t>
      </w:r>
      <w:r w:rsidRPr="007D50D0">
        <w:t xml:space="preserve">he Amendment increases contribution </w:t>
      </w:r>
      <w:r w:rsidR="00566431">
        <w:t>towards the</w:t>
      </w:r>
      <w:r w:rsidR="00566431" w:rsidRPr="007D50D0">
        <w:t xml:space="preserve"> </w:t>
      </w:r>
      <w:r w:rsidRPr="007D50D0">
        <w:t>wage of disabled person</w:t>
      </w:r>
      <w:r w:rsidR="0021177B">
        <w:t>s</w:t>
      </w:r>
      <w:r w:rsidRPr="007D50D0">
        <w:t xml:space="preserve"> employed in the sheltered workshop</w:t>
      </w:r>
      <w:r w:rsidR="004F5B3A">
        <w:t>s</w:t>
      </w:r>
      <w:r w:rsidRPr="007D50D0">
        <w:t xml:space="preserve">. </w:t>
      </w:r>
      <w:r w:rsidR="007D50D0">
        <w:t xml:space="preserve">It would be important </w:t>
      </w:r>
      <w:r w:rsidR="004F5B3A">
        <w:t xml:space="preserve">for the future </w:t>
      </w:r>
      <w:r w:rsidR="007D50D0">
        <w:t>to monitor efficiency of these measures.</w:t>
      </w:r>
    </w:p>
    <w:p w14:paraId="5EE0C605" w14:textId="77777777" w:rsidR="00566431" w:rsidRDefault="00566431" w:rsidP="006740A5">
      <w:pPr>
        <w:jc w:val="both"/>
      </w:pPr>
    </w:p>
    <w:p w14:paraId="79C7B468" w14:textId="77777777" w:rsidR="00566431" w:rsidRPr="00B25DFD" w:rsidRDefault="00566431" w:rsidP="006740A5">
      <w:pPr>
        <w:jc w:val="both"/>
        <w:rPr>
          <w:b/>
        </w:rPr>
      </w:pPr>
      <w:r w:rsidRPr="00B25DFD">
        <w:rPr>
          <w:b/>
        </w:rPr>
        <w:t>Social enterprise</w:t>
      </w:r>
    </w:p>
    <w:p w14:paraId="2E61087C" w14:textId="13CA601C" w:rsidR="00566431" w:rsidRDefault="00EC5813" w:rsidP="006740A5">
      <w:pPr>
        <w:jc w:val="both"/>
      </w:pPr>
      <w:r>
        <w:t xml:space="preserve">There is </w:t>
      </w:r>
      <w:r w:rsidR="00486491" w:rsidRPr="007D50D0">
        <w:t xml:space="preserve">number of </w:t>
      </w:r>
      <w:r w:rsidR="00975D8B" w:rsidRPr="007D50D0">
        <w:t xml:space="preserve">smaller or medium sized </w:t>
      </w:r>
      <w:r w:rsidR="00486491" w:rsidRPr="007D50D0">
        <w:t xml:space="preserve">firms </w:t>
      </w:r>
      <w:r w:rsidR="00A36357" w:rsidRPr="007D50D0">
        <w:t xml:space="preserve">(often </w:t>
      </w:r>
      <w:r w:rsidR="007D50D0" w:rsidRPr="007D50D0">
        <w:t>previous</w:t>
      </w:r>
      <w:r w:rsidR="008F09FB" w:rsidRPr="007D50D0">
        <w:t xml:space="preserve"> NGOs) </w:t>
      </w:r>
      <w:r w:rsidR="00486491" w:rsidRPr="007D50D0">
        <w:t xml:space="preserve">which employ disabled </w:t>
      </w:r>
      <w:r w:rsidR="008F09FB" w:rsidRPr="007D50D0">
        <w:t>people,</w:t>
      </w:r>
      <w:r w:rsidR="00486491" w:rsidRPr="007D50D0">
        <w:t xml:space="preserve"> and </w:t>
      </w:r>
      <w:r w:rsidR="004F31A9" w:rsidRPr="007D50D0">
        <w:t>which already report to the principles of social entrepreneurship</w:t>
      </w:r>
      <w:r w:rsidR="007D50D0" w:rsidRPr="007D50D0">
        <w:t>s</w:t>
      </w:r>
      <w:r w:rsidR="00486491" w:rsidRPr="007D50D0">
        <w:t xml:space="preserve">. Nevertheless, social entrepreneurship </w:t>
      </w:r>
      <w:r w:rsidR="007D50D0" w:rsidRPr="007D50D0">
        <w:t xml:space="preserve">as such </w:t>
      </w:r>
      <w:r w:rsidR="00486491" w:rsidRPr="007D50D0">
        <w:t xml:space="preserve">is not </w:t>
      </w:r>
      <w:r w:rsidR="008F09FB" w:rsidRPr="007D50D0">
        <w:t>included</w:t>
      </w:r>
      <w:r w:rsidR="00486491" w:rsidRPr="007D50D0">
        <w:t xml:space="preserve"> the </w:t>
      </w:r>
      <w:r w:rsidR="00486491" w:rsidRPr="007D50D0">
        <w:lastRenderedPageBreak/>
        <w:t>Czech legal order</w:t>
      </w:r>
      <w:r w:rsidR="007D50D0" w:rsidRPr="007D50D0">
        <w:t xml:space="preserve"> yet</w:t>
      </w:r>
      <w:r w:rsidR="00486491" w:rsidRPr="007D50D0">
        <w:t xml:space="preserve">. It </w:t>
      </w:r>
      <w:r w:rsidR="0021177B">
        <w:t>would be important</w:t>
      </w:r>
      <w:r w:rsidR="00486491" w:rsidRPr="007D50D0">
        <w:t xml:space="preserve"> to adopt legislative measure to support social </w:t>
      </w:r>
      <w:bookmarkStart w:id="9" w:name="_Hlk522546203"/>
      <w:r w:rsidR="00486491" w:rsidRPr="007D50D0">
        <w:t>entrepreneurship</w:t>
      </w:r>
      <w:bookmarkEnd w:id="9"/>
      <w:r w:rsidR="0021177B">
        <w:t xml:space="preserve"> </w:t>
      </w:r>
      <w:r w:rsidR="008F09FB" w:rsidRPr="007D50D0">
        <w:t xml:space="preserve">(see </w:t>
      </w:r>
      <w:r w:rsidR="00566431">
        <w:t>2018</w:t>
      </w:r>
      <w:r w:rsidR="008F09FB" w:rsidRPr="007D50D0">
        <w:t xml:space="preserve"> </w:t>
      </w:r>
      <w:r w:rsidR="00566431">
        <w:t>NRP</w:t>
      </w:r>
      <w:r w:rsidR="008F09FB" w:rsidRPr="007D50D0">
        <w:t>)</w:t>
      </w:r>
      <w:r w:rsidR="00486491" w:rsidRPr="007D50D0">
        <w:t>.</w:t>
      </w:r>
      <w:r w:rsidR="008F09FB" w:rsidRPr="007D50D0">
        <w:t xml:space="preserve"> </w:t>
      </w:r>
    </w:p>
    <w:p w14:paraId="352A7BE4" w14:textId="13A72388" w:rsidR="005F5B69" w:rsidRDefault="00486491" w:rsidP="006740A5">
      <w:pPr>
        <w:jc w:val="both"/>
      </w:pPr>
      <w:r w:rsidRPr="007D50D0">
        <w:t xml:space="preserve">It can be assumed that </w:t>
      </w:r>
      <w:r w:rsidR="00566431">
        <w:t xml:space="preserve">the </w:t>
      </w:r>
      <w:r w:rsidR="008F09FB" w:rsidRPr="007D50D0">
        <w:t>Act on Social Entrepreneurship would</w:t>
      </w:r>
      <w:r w:rsidRPr="007D50D0">
        <w:t xml:space="preserve"> contribute to the development of a </w:t>
      </w:r>
      <w:r w:rsidR="00566431">
        <w:t xml:space="preserve">more </w:t>
      </w:r>
      <w:r w:rsidRPr="007D50D0">
        <w:t xml:space="preserve">socially responsible business environment, especially small and medium-sized </w:t>
      </w:r>
      <w:r w:rsidR="004F31A9" w:rsidRPr="007D50D0">
        <w:t>enterprises.</w:t>
      </w:r>
      <w:r w:rsidRPr="007D50D0">
        <w:t xml:space="preserve"> Positive social impacts can </w:t>
      </w:r>
      <w:r w:rsidR="008F09FB" w:rsidRPr="007D50D0">
        <w:t>be expected</w:t>
      </w:r>
      <w:r w:rsidRPr="007D50D0">
        <w:t xml:space="preserve"> particularly in relation </w:t>
      </w:r>
      <w:r w:rsidR="008F09FB" w:rsidRPr="007D50D0">
        <w:t xml:space="preserve">to </w:t>
      </w:r>
      <w:r w:rsidR="00566431">
        <w:t xml:space="preserve">the </w:t>
      </w:r>
      <w:r w:rsidRPr="007D50D0">
        <w:t>employment of disabled people</w:t>
      </w:r>
      <w:r w:rsidR="008F09FB" w:rsidRPr="007D50D0">
        <w:t xml:space="preserve">. </w:t>
      </w:r>
    </w:p>
    <w:p w14:paraId="0E0AD6E6" w14:textId="77777777" w:rsidR="006740A5" w:rsidRPr="007D50D0" w:rsidRDefault="006740A5" w:rsidP="006740A5">
      <w:pPr>
        <w:jc w:val="both"/>
      </w:pPr>
    </w:p>
    <w:p w14:paraId="51531863" w14:textId="68A1D075" w:rsidR="00566431" w:rsidRPr="00B25DFD" w:rsidRDefault="00566431" w:rsidP="006740A5">
      <w:pPr>
        <w:jc w:val="both"/>
        <w:rPr>
          <w:b/>
          <w:noProof/>
        </w:rPr>
      </w:pPr>
      <w:r w:rsidRPr="00B25DFD">
        <w:rPr>
          <w:b/>
          <w:noProof/>
        </w:rPr>
        <w:t>Labour mobility</w:t>
      </w:r>
    </w:p>
    <w:p w14:paraId="6457C927" w14:textId="50E2FBC3" w:rsidR="00C654C3" w:rsidRDefault="00C654C3" w:rsidP="006740A5">
      <w:pPr>
        <w:jc w:val="both"/>
        <w:rPr>
          <w:noProof/>
        </w:rPr>
      </w:pPr>
      <w:r w:rsidRPr="00273451">
        <w:rPr>
          <w:noProof/>
        </w:rPr>
        <w:t xml:space="preserve">Support to regional mobility </w:t>
      </w:r>
      <w:r w:rsidR="00273451" w:rsidRPr="00273451">
        <w:rPr>
          <w:noProof/>
        </w:rPr>
        <w:t xml:space="preserve">to enhance employment </w:t>
      </w:r>
      <w:r w:rsidRPr="00273451">
        <w:rPr>
          <w:noProof/>
        </w:rPr>
        <w:t xml:space="preserve">is now granted by the Labour Office to the job seekers registered for more than </w:t>
      </w:r>
      <w:r w:rsidR="00566431">
        <w:rPr>
          <w:noProof/>
        </w:rPr>
        <w:t>five</w:t>
      </w:r>
      <w:r w:rsidR="00566431" w:rsidRPr="00273451">
        <w:rPr>
          <w:noProof/>
        </w:rPr>
        <w:t xml:space="preserve"> </w:t>
      </w:r>
      <w:r w:rsidRPr="00273451">
        <w:rPr>
          <w:noProof/>
        </w:rPr>
        <w:t xml:space="preserve">months. The </w:t>
      </w:r>
      <w:r w:rsidR="00566431">
        <w:rPr>
          <w:noProof/>
        </w:rPr>
        <w:t>incentive</w:t>
      </w:r>
      <w:r w:rsidR="00566431" w:rsidRPr="00273451">
        <w:rPr>
          <w:noProof/>
        </w:rPr>
        <w:t xml:space="preserve"> </w:t>
      </w:r>
      <w:r w:rsidRPr="00273451">
        <w:rPr>
          <w:noProof/>
        </w:rPr>
        <w:t xml:space="preserve">covers commuting costs and removal to a new job outside of the job seeker's region. </w:t>
      </w:r>
      <w:r w:rsidR="00273451" w:rsidRPr="00273451">
        <w:rPr>
          <w:noProof/>
        </w:rPr>
        <w:t xml:space="preserve">It would be appropriate to analyse </w:t>
      </w:r>
      <w:r w:rsidRPr="00273451">
        <w:rPr>
          <w:noProof/>
        </w:rPr>
        <w:t xml:space="preserve">impact of the new incentive </w:t>
      </w:r>
      <w:r w:rsidR="00165FC9" w:rsidRPr="00273451">
        <w:rPr>
          <w:noProof/>
        </w:rPr>
        <w:t>on em</w:t>
      </w:r>
      <w:r w:rsidR="00352B66" w:rsidRPr="00273451">
        <w:rPr>
          <w:noProof/>
        </w:rPr>
        <w:t>plyomen</w:t>
      </w:r>
      <w:r w:rsidR="00165FC9" w:rsidRPr="00273451">
        <w:rPr>
          <w:noProof/>
        </w:rPr>
        <w:t>t</w:t>
      </w:r>
      <w:r w:rsidR="00352B66" w:rsidRPr="00273451">
        <w:rPr>
          <w:noProof/>
        </w:rPr>
        <w:t xml:space="preserve"> mobility </w:t>
      </w:r>
      <w:r w:rsidR="00273451" w:rsidRPr="00273451">
        <w:rPr>
          <w:noProof/>
        </w:rPr>
        <w:t xml:space="preserve">for </w:t>
      </w:r>
      <w:r w:rsidR="00352B66" w:rsidRPr="00273451">
        <w:rPr>
          <w:noProof/>
        </w:rPr>
        <w:t xml:space="preserve">disabled </w:t>
      </w:r>
      <w:r w:rsidR="00273451" w:rsidRPr="00273451">
        <w:rPr>
          <w:noProof/>
        </w:rPr>
        <w:t>job seekers</w:t>
      </w:r>
      <w:r w:rsidR="00352B66" w:rsidRPr="00273451">
        <w:rPr>
          <w:noProof/>
        </w:rPr>
        <w:t>.</w:t>
      </w:r>
      <w:r w:rsidR="00566431">
        <w:rPr>
          <w:noProof/>
        </w:rPr>
        <w:t xml:space="preserve"> According to data submitted to Eurostat, there were only 198 participants in this scheme in the first year, 2016 (see </w:t>
      </w:r>
      <w:r w:rsidR="00566431">
        <w:rPr>
          <w:noProof/>
        </w:rPr>
        <w:fldChar w:fldCharType="begin"/>
      </w:r>
      <w:r w:rsidR="00566431">
        <w:rPr>
          <w:noProof/>
        </w:rPr>
        <w:instrText xml:space="preserve"> REF _Ref525654279 \h </w:instrText>
      </w:r>
      <w:r w:rsidR="00875F7E">
        <w:rPr>
          <w:noProof/>
        </w:rPr>
        <w:instrText xml:space="preserve"> \* MERGEFORMAT </w:instrText>
      </w:r>
      <w:r w:rsidR="00566431">
        <w:rPr>
          <w:noProof/>
        </w:rPr>
      </w:r>
      <w:r w:rsidR="00566431">
        <w:rPr>
          <w:noProof/>
        </w:rPr>
        <w:fldChar w:fldCharType="separate"/>
      </w:r>
      <w:r w:rsidR="00B25DFD">
        <w:t xml:space="preserve">Table </w:t>
      </w:r>
      <w:r w:rsidR="00B25DFD">
        <w:rPr>
          <w:noProof/>
        </w:rPr>
        <w:t>12</w:t>
      </w:r>
      <w:r w:rsidR="00566431">
        <w:rPr>
          <w:noProof/>
        </w:rPr>
        <w:fldChar w:fldCharType="end"/>
      </w:r>
      <w:r w:rsidR="00566431">
        <w:rPr>
          <w:noProof/>
        </w:rPr>
        <w:t>).</w:t>
      </w:r>
    </w:p>
    <w:p w14:paraId="2EE1493F" w14:textId="77777777" w:rsidR="006740A5" w:rsidRPr="00273451" w:rsidRDefault="006740A5" w:rsidP="006740A5">
      <w:pPr>
        <w:jc w:val="both"/>
      </w:pPr>
    </w:p>
    <w:p w14:paraId="48464E8E" w14:textId="4C408BA8" w:rsidR="00566431" w:rsidRPr="00B25DFD" w:rsidRDefault="00566431" w:rsidP="006740A5">
      <w:pPr>
        <w:jc w:val="both"/>
        <w:rPr>
          <w:b/>
        </w:rPr>
      </w:pPr>
      <w:r w:rsidRPr="00B25DFD">
        <w:rPr>
          <w:b/>
        </w:rPr>
        <w:t>Conclusion</w:t>
      </w:r>
    </w:p>
    <w:p w14:paraId="09F17D12" w14:textId="2BD1A06F" w:rsidR="00B94969" w:rsidRDefault="00D5025F" w:rsidP="006740A5">
      <w:pPr>
        <w:jc w:val="both"/>
      </w:pPr>
      <w:r w:rsidRPr="00EC5813">
        <w:t>Overall, s</w:t>
      </w:r>
      <w:r w:rsidR="00B94969" w:rsidRPr="00EC5813">
        <w:t>ystemic support for both employers of disabled people and</w:t>
      </w:r>
      <w:r w:rsidR="00975D8B" w:rsidRPr="00EC5813">
        <w:t xml:space="preserve"> people with disabilities exist</w:t>
      </w:r>
      <w:r w:rsidR="00566431">
        <w:t>s</w:t>
      </w:r>
      <w:r w:rsidR="00B94969" w:rsidRPr="00EC5813">
        <w:t>. Active and pas</w:t>
      </w:r>
      <w:r w:rsidR="005F5B69" w:rsidRPr="00EC5813">
        <w:t>sive employment support measure</w:t>
      </w:r>
      <w:r w:rsidR="00273451" w:rsidRPr="00EC5813">
        <w:t>s</w:t>
      </w:r>
      <w:r w:rsidR="00B94969" w:rsidRPr="00EC5813">
        <w:t xml:space="preserve"> </w:t>
      </w:r>
      <w:r w:rsidR="005F5B69" w:rsidRPr="00EC5813">
        <w:t>are implemented</w:t>
      </w:r>
      <w:r w:rsidR="00B94969" w:rsidRPr="00EC5813">
        <w:t xml:space="preserve">, combining both incentive and sanction measures. However, </w:t>
      </w:r>
      <w:r w:rsidR="00566431">
        <w:t>there is little evidence that the system is resulting in employment gains among disabled people, their employment remains low and unemployment high. A</w:t>
      </w:r>
      <w:r w:rsidR="00B94969" w:rsidRPr="00EC5813">
        <w:t xml:space="preserve"> more detailed analysis of the effectiveness </w:t>
      </w:r>
      <w:r w:rsidR="00273451" w:rsidRPr="00EC5813">
        <w:t xml:space="preserve">and efficiency </w:t>
      </w:r>
      <w:r w:rsidR="00B94969" w:rsidRPr="00EC5813">
        <w:t xml:space="preserve">of </w:t>
      </w:r>
      <w:r w:rsidR="00EC5813" w:rsidRPr="00EC5813">
        <w:t xml:space="preserve">the respective </w:t>
      </w:r>
      <w:r w:rsidR="000154CE" w:rsidRPr="00EC5813">
        <w:t>A</w:t>
      </w:r>
      <w:r w:rsidR="000154CE">
        <w:t>L</w:t>
      </w:r>
      <w:r w:rsidR="000154CE" w:rsidRPr="00EC5813">
        <w:t xml:space="preserve">P </w:t>
      </w:r>
      <w:r w:rsidR="00B94969" w:rsidRPr="00EC5813">
        <w:t>measures</w:t>
      </w:r>
      <w:r w:rsidR="000154CE">
        <w:t>,</w:t>
      </w:r>
      <w:r w:rsidR="00B94969" w:rsidRPr="00EC5813">
        <w:t xml:space="preserve"> </w:t>
      </w:r>
      <w:r w:rsidR="00EC5813">
        <w:t xml:space="preserve">particularly </w:t>
      </w:r>
      <w:r w:rsidR="000154CE">
        <w:t xml:space="preserve">those </w:t>
      </w:r>
      <w:r w:rsidR="00EC5813">
        <w:t>focused on disabled people</w:t>
      </w:r>
      <w:r w:rsidR="000154CE">
        <w:t>,</w:t>
      </w:r>
      <w:r w:rsidR="00EC5813">
        <w:t xml:space="preserve"> </w:t>
      </w:r>
      <w:r w:rsidR="0021177B">
        <w:t>should</w:t>
      </w:r>
      <w:r w:rsidR="00B94969" w:rsidRPr="00EC5813">
        <w:t xml:space="preserve"> be </w:t>
      </w:r>
      <w:r w:rsidR="0021177B">
        <w:t xml:space="preserve">conducted </w:t>
      </w:r>
      <w:r w:rsidR="005F5B69" w:rsidRPr="00EC5813">
        <w:t>followed by pro</w:t>
      </w:r>
      <w:r w:rsidR="00EC5813">
        <w:t>posals for systematic changes. An initial</w:t>
      </w:r>
      <w:r w:rsidR="00CB53B9" w:rsidRPr="00EC5813">
        <w:t xml:space="preserve"> </w:t>
      </w:r>
      <w:r w:rsidR="00227D30" w:rsidRPr="00EC5813">
        <w:t>study on effectiveness of active employment pol</w:t>
      </w:r>
      <w:r w:rsidR="00CB53B9" w:rsidRPr="00EC5813">
        <w:t xml:space="preserve">icy was launched by </w:t>
      </w:r>
      <w:proofErr w:type="spellStart"/>
      <w:r w:rsidR="00CB53B9" w:rsidRPr="00EC5813">
        <w:t>MoLSA</w:t>
      </w:r>
      <w:proofErr w:type="spellEnd"/>
      <w:r w:rsidR="00CB53B9" w:rsidRPr="00EC5813">
        <w:t xml:space="preserve"> Research Institute</w:t>
      </w:r>
      <w:r w:rsidR="00EC5813" w:rsidRPr="00EC5813">
        <w:t xml:space="preserve"> in 2017</w:t>
      </w:r>
      <w:r w:rsidR="00CA2509">
        <w:rPr>
          <w:rStyle w:val="FootnoteReference"/>
        </w:rPr>
        <w:footnoteReference w:id="17"/>
      </w:r>
      <w:r w:rsidR="00227D30" w:rsidRPr="00EC5813">
        <w:t xml:space="preserve"> to map and e</w:t>
      </w:r>
      <w:r w:rsidR="00CB53B9" w:rsidRPr="00EC5813">
        <w:t>valuate the impacts of active employment policies</w:t>
      </w:r>
      <w:r w:rsidR="00227D30" w:rsidRPr="00EC5813">
        <w:t xml:space="preserve">. </w:t>
      </w:r>
      <w:r w:rsidR="00CA2509">
        <w:t>Preliminary r</w:t>
      </w:r>
      <w:r w:rsidR="00CB53B9" w:rsidRPr="00EC5813">
        <w:t>esults</w:t>
      </w:r>
      <w:r w:rsidR="00273451" w:rsidRPr="00EC5813">
        <w:t xml:space="preserve"> are expected to be launched</w:t>
      </w:r>
      <w:r w:rsidR="00CB53B9" w:rsidRPr="00EC5813">
        <w:t xml:space="preserve"> later in 2018.</w:t>
      </w:r>
      <w:r w:rsidR="00CB53B9">
        <w:t xml:space="preserve"> </w:t>
      </w:r>
    </w:p>
    <w:p w14:paraId="2CCD83B5" w14:textId="77777777" w:rsidR="00B94969" w:rsidRPr="00B94969" w:rsidRDefault="00B94969" w:rsidP="00875F7E">
      <w:pPr>
        <w:spacing w:after="200"/>
        <w:rPr>
          <w:rFonts w:eastAsia="Times New Roman"/>
          <w:color w:val="000000"/>
          <w:sz w:val="18"/>
          <w:szCs w:val="18"/>
          <w:lang w:val="cs-CZ" w:eastAsia="cs-CZ"/>
        </w:rPr>
      </w:pPr>
    </w:p>
    <w:p w14:paraId="08B78A36" w14:textId="18C50F4B" w:rsidR="00D0292C" w:rsidRDefault="00DE4BC5" w:rsidP="006740A5">
      <w:pPr>
        <w:pStyle w:val="Heading1"/>
        <w:jc w:val="both"/>
      </w:pPr>
      <w:bookmarkStart w:id="10" w:name="_Toc528662149"/>
      <w:r>
        <w:lastRenderedPageBreak/>
        <w:t>Disability,</w:t>
      </w:r>
      <w:r w:rsidR="00172D74">
        <w:t xml:space="preserve"> education </w:t>
      </w:r>
      <w:r>
        <w:t xml:space="preserve">and skills – analysis of the </w:t>
      </w:r>
      <w:r w:rsidR="00172D74">
        <w:t xml:space="preserve">situation and </w:t>
      </w:r>
      <w:r>
        <w:t xml:space="preserve">the </w:t>
      </w:r>
      <w:r w:rsidR="00172D74">
        <w:t>effectiveness of policies</w:t>
      </w:r>
      <w:bookmarkEnd w:id="10"/>
    </w:p>
    <w:p w14:paraId="1BC5A1D8" w14:textId="77777777" w:rsidR="006740A5" w:rsidRDefault="006740A5" w:rsidP="006740A5">
      <w:pPr>
        <w:pStyle w:val="ListParagraph"/>
        <w:shd w:val="clear" w:color="auto" w:fill="FFFFFF"/>
        <w:ind w:left="0"/>
        <w:jc w:val="both"/>
      </w:pPr>
    </w:p>
    <w:p w14:paraId="1AF2DF62" w14:textId="12BDF0A5" w:rsidR="00086DAC" w:rsidRDefault="007376F6" w:rsidP="006740A5">
      <w:pPr>
        <w:pStyle w:val="ListParagraph"/>
        <w:shd w:val="clear" w:color="auto" w:fill="FFFFFF"/>
        <w:ind w:left="0"/>
        <w:jc w:val="both"/>
        <w:rPr>
          <w:rFonts w:eastAsia="Times New Roman"/>
          <w:color w:val="000000"/>
          <w:lang w:eastAsia="cs-CZ"/>
        </w:rPr>
      </w:pPr>
      <w:r>
        <w:t xml:space="preserve">The Czech Republic has low levels of early leaving, compared to other EU countries, both in general and for young people who declare activity limitations (see </w:t>
      </w:r>
      <w:r>
        <w:rPr>
          <w:sz w:val="20"/>
          <w:szCs w:val="20"/>
        </w:rPr>
        <w:fldChar w:fldCharType="begin"/>
      </w:r>
      <w:r>
        <w:instrText xml:space="preserve"> REF _Ref525656187 \h </w:instrText>
      </w:r>
      <w:r w:rsidR="00875F7E">
        <w:instrText xml:space="preserve"> \* MERGEFORMAT </w:instrText>
      </w:r>
      <w:r>
        <w:rPr>
          <w:sz w:val="20"/>
          <w:szCs w:val="20"/>
        </w:rPr>
      </w:r>
      <w:r>
        <w:rPr>
          <w:sz w:val="20"/>
          <w:szCs w:val="20"/>
        </w:rPr>
        <w:fldChar w:fldCharType="separate"/>
      </w:r>
      <w:r w:rsidR="00B25DFD">
        <w:t xml:space="preserve">Table </w:t>
      </w:r>
      <w:r w:rsidR="00B25DFD">
        <w:rPr>
          <w:noProof/>
        </w:rPr>
        <w:t>13</w:t>
      </w:r>
      <w:r>
        <w:rPr>
          <w:sz w:val="20"/>
          <w:szCs w:val="20"/>
        </w:rPr>
        <w:fldChar w:fldCharType="end"/>
      </w:r>
      <w:r w:rsidR="001435C9">
        <w:t xml:space="preserve"> in annex). Nevertheless, the progression to tertiary level achievement is also quite low (</w:t>
      </w:r>
      <w:r w:rsidR="001435C9">
        <w:rPr>
          <w:sz w:val="20"/>
          <w:szCs w:val="20"/>
        </w:rPr>
        <w:fldChar w:fldCharType="begin"/>
      </w:r>
      <w:r w:rsidR="001435C9">
        <w:instrText xml:space="preserve"> REF _Ref525656294 \h </w:instrText>
      </w:r>
      <w:r w:rsidR="00875F7E">
        <w:instrText xml:space="preserve"> \* MERGEFORMAT </w:instrText>
      </w:r>
      <w:r w:rsidR="001435C9">
        <w:rPr>
          <w:sz w:val="20"/>
          <w:szCs w:val="20"/>
        </w:rPr>
      </w:r>
      <w:r w:rsidR="001435C9">
        <w:rPr>
          <w:sz w:val="20"/>
          <w:szCs w:val="20"/>
        </w:rPr>
        <w:fldChar w:fldCharType="separate"/>
      </w:r>
      <w:r w:rsidR="00B25DFD">
        <w:t xml:space="preserve">Table </w:t>
      </w:r>
      <w:r w:rsidR="00B25DFD">
        <w:rPr>
          <w:noProof/>
        </w:rPr>
        <w:t>14</w:t>
      </w:r>
      <w:r w:rsidR="001435C9">
        <w:rPr>
          <w:sz w:val="20"/>
          <w:szCs w:val="20"/>
        </w:rPr>
        <w:fldChar w:fldCharType="end"/>
      </w:r>
      <w:r w:rsidR="001435C9">
        <w:t xml:space="preserve">). </w:t>
      </w:r>
      <w:r w:rsidR="009E4E15" w:rsidRPr="000552EC">
        <w:t>The 201</w:t>
      </w:r>
      <w:r w:rsidR="009E4E15">
        <w:t>5</w:t>
      </w:r>
      <w:r w:rsidR="009E4E15" w:rsidRPr="000552EC">
        <w:t xml:space="preserve"> Concluding Observations of the UN Committee on </w:t>
      </w:r>
      <w:r w:rsidR="009E4E15">
        <w:t>education</w:t>
      </w:r>
      <w:r w:rsidR="00C654C3">
        <w:t xml:space="preserve"> </w:t>
      </w:r>
      <w:r w:rsidR="009E4E15">
        <w:t>(Article 24</w:t>
      </w:r>
      <w:r w:rsidR="009E4E15" w:rsidRPr="000552EC">
        <w:t xml:space="preserve"> CRPD) </w:t>
      </w:r>
      <w:r w:rsidR="001435C9">
        <w:t xml:space="preserve">were referred to earlier in chapter 1.3.1, including the recommendations to </w:t>
      </w:r>
      <w:r w:rsidR="009E4E15" w:rsidRPr="009E4E15">
        <w:rPr>
          <w:rFonts w:eastAsia="Times New Roman"/>
          <w:color w:val="000000"/>
          <w:lang w:eastAsia="cs-CZ"/>
        </w:rPr>
        <w:t>implement the amended School Act, incorporate inclusive education as the guiding principle of the education system and ensure the admission of children with disabilities in</w:t>
      </w:r>
      <w:r w:rsidR="001435C9">
        <w:rPr>
          <w:rFonts w:eastAsia="Times New Roman"/>
          <w:color w:val="000000"/>
          <w:lang w:eastAsia="cs-CZ"/>
        </w:rPr>
        <w:t>to</w:t>
      </w:r>
      <w:r w:rsidR="009E4E15" w:rsidRPr="009E4E15">
        <w:rPr>
          <w:rFonts w:eastAsia="Times New Roman"/>
          <w:color w:val="000000"/>
          <w:lang w:eastAsia="cs-CZ"/>
        </w:rPr>
        <w:t xml:space="preserve"> mainstream schools.</w:t>
      </w:r>
      <w:r w:rsidR="001435C9">
        <w:rPr>
          <w:rFonts w:eastAsia="Times New Roman"/>
          <w:color w:val="000000"/>
          <w:lang w:eastAsia="cs-CZ"/>
        </w:rPr>
        <w:t xml:space="preserve"> </w:t>
      </w:r>
      <w:r w:rsidR="009E4E15" w:rsidRPr="009E4E15">
        <w:rPr>
          <w:rFonts w:eastAsia="Times New Roman"/>
          <w:color w:val="000000"/>
          <w:lang w:eastAsia="cs-CZ"/>
        </w:rPr>
        <w:t xml:space="preserve"> </w:t>
      </w:r>
    </w:p>
    <w:p w14:paraId="46ECB53A" w14:textId="77777777" w:rsidR="00C0289E" w:rsidRDefault="00C0289E" w:rsidP="006740A5">
      <w:pPr>
        <w:pStyle w:val="ListParagraph"/>
        <w:shd w:val="clear" w:color="auto" w:fill="FFFFFF"/>
        <w:ind w:left="0"/>
        <w:jc w:val="both"/>
        <w:rPr>
          <w:rFonts w:eastAsia="Times New Roman"/>
          <w:color w:val="000000"/>
          <w:lang w:eastAsia="cs-CZ"/>
        </w:rPr>
      </w:pPr>
    </w:p>
    <w:p w14:paraId="3A3E813E" w14:textId="0AF10470" w:rsidR="009726BC" w:rsidRPr="00B25DFD" w:rsidRDefault="009726BC" w:rsidP="006740A5">
      <w:pPr>
        <w:pStyle w:val="ListParagraph"/>
        <w:shd w:val="clear" w:color="auto" w:fill="FFFFFF"/>
        <w:ind w:left="0"/>
        <w:jc w:val="both"/>
        <w:rPr>
          <w:b/>
          <w:bCs/>
          <w:iCs/>
        </w:rPr>
      </w:pPr>
      <w:r w:rsidRPr="00B25DFD">
        <w:rPr>
          <w:b/>
          <w:bCs/>
          <w:iCs/>
        </w:rPr>
        <w:t>Policy development</w:t>
      </w:r>
    </w:p>
    <w:p w14:paraId="0D9D1625" w14:textId="7AF0747E" w:rsidR="002D4C4A" w:rsidRPr="00B4419A" w:rsidRDefault="00086DAC" w:rsidP="006740A5">
      <w:pPr>
        <w:pStyle w:val="ListParagraph"/>
        <w:shd w:val="clear" w:color="auto" w:fill="FFFFFF"/>
        <w:ind w:left="0"/>
        <w:jc w:val="both"/>
        <w:rPr>
          <w:rFonts w:eastAsia="Times New Roman"/>
          <w:color w:val="000000"/>
          <w:lang w:eastAsia="cs-CZ"/>
        </w:rPr>
      </w:pPr>
      <w:r>
        <w:rPr>
          <w:bCs/>
          <w:iCs/>
        </w:rPr>
        <w:t xml:space="preserve">Inclusive education for </w:t>
      </w:r>
      <w:r w:rsidRPr="00B4419A">
        <w:rPr>
          <w:bCs/>
          <w:iCs/>
        </w:rPr>
        <w:t>children, pupils</w:t>
      </w:r>
      <w:r>
        <w:rPr>
          <w:bCs/>
          <w:iCs/>
        </w:rPr>
        <w:t xml:space="preserve"> and students with disabilities</w:t>
      </w:r>
      <w:r>
        <w:rPr>
          <w:rFonts w:eastAsia="Times New Roman"/>
          <w:color w:val="000000"/>
          <w:lang w:eastAsia="cs-CZ"/>
        </w:rPr>
        <w:t xml:space="preserve"> is one of </w:t>
      </w:r>
      <w:r w:rsidR="001435C9">
        <w:rPr>
          <w:rFonts w:eastAsia="Times New Roman"/>
          <w:color w:val="000000"/>
          <w:lang w:eastAsia="cs-CZ"/>
        </w:rPr>
        <w:t xml:space="preserve">the </w:t>
      </w:r>
      <w:r>
        <w:rPr>
          <w:bCs/>
          <w:iCs/>
        </w:rPr>
        <w:t>core themes</w:t>
      </w:r>
      <w:r w:rsidR="00B4419A" w:rsidRPr="00B4419A">
        <w:rPr>
          <w:bCs/>
          <w:iCs/>
        </w:rPr>
        <w:t xml:space="preserve"> of the D</w:t>
      </w:r>
      <w:r>
        <w:rPr>
          <w:bCs/>
          <w:iCs/>
        </w:rPr>
        <w:t>isability Plan</w:t>
      </w:r>
      <w:r w:rsidR="001435C9">
        <w:rPr>
          <w:bCs/>
          <w:iCs/>
        </w:rPr>
        <w:t xml:space="preserve"> (see chapter 1.3.2 earlier).</w:t>
      </w:r>
      <w:r w:rsidR="0021177B">
        <w:rPr>
          <w:rStyle w:val="FootnoteReference"/>
          <w:bCs/>
          <w:iCs/>
        </w:rPr>
        <w:footnoteReference w:id="18"/>
      </w:r>
      <w:r w:rsidR="00B4419A" w:rsidRPr="00B4419A">
        <w:rPr>
          <w:bCs/>
          <w:iCs/>
        </w:rPr>
        <w:t xml:space="preserve"> </w:t>
      </w:r>
      <w:r w:rsidR="002D4C4A" w:rsidRPr="00B4419A">
        <w:rPr>
          <w:rFonts w:eastAsia="Times New Roman"/>
          <w:color w:val="000000"/>
          <w:lang w:eastAsia="cs-CZ"/>
        </w:rPr>
        <w:t>The Amendment of the Education Act 561</w:t>
      </w:r>
      <w:r w:rsidR="0021177B">
        <w:rPr>
          <w:rStyle w:val="FootnoteReference"/>
          <w:rFonts w:eastAsia="Times New Roman"/>
          <w:color w:val="000000"/>
          <w:lang w:eastAsia="cs-CZ"/>
        </w:rPr>
        <w:footnoteReference w:id="19"/>
      </w:r>
      <w:r w:rsidR="002D4C4A">
        <w:rPr>
          <w:rFonts w:eastAsia="Times New Roman"/>
          <w:color w:val="000000"/>
          <w:lang w:eastAsia="cs-CZ"/>
        </w:rPr>
        <w:t xml:space="preserve"> came into force in September 2016 </w:t>
      </w:r>
      <w:r w:rsidR="000C7BB9">
        <w:rPr>
          <w:rFonts w:eastAsia="Times New Roman"/>
          <w:color w:val="000000"/>
          <w:lang w:eastAsia="cs-CZ"/>
        </w:rPr>
        <w:t xml:space="preserve">introducing </w:t>
      </w:r>
      <w:r w:rsidR="001435C9">
        <w:rPr>
          <w:rFonts w:eastAsia="Times New Roman"/>
          <w:color w:val="000000"/>
          <w:lang w:eastAsia="cs-CZ"/>
        </w:rPr>
        <w:t xml:space="preserve">the </w:t>
      </w:r>
      <w:r w:rsidR="000C7BB9">
        <w:rPr>
          <w:rFonts w:eastAsia="Times New Roman"/>
          <w:color w:val="000000"/>
          <w:lang w:eastAsia="cs-CZ"/>
        </w:rPr>
        <w:t>concept</w:t>
      </w:r>
      <w:r w:rsidR="002D4C4A">
        <w:rPr>
          <w:rFonts w:eastAsia="Times New Roman"/>
          <w:color w:val="000000"/>
          <w:lang w:eastAsia="cs-CZ"/>
        </w:rPr>
        <w:t xml:space="preserve"> of so</w:t>
      </w:r>
      <w:r w:rsidR="001435C9">
        <w:rPr>
          <w:rFonts w:eastAsia="Times New Roman"/>
          <w:color w:val="000000"/>
          <w:lang w:eastAsia="cs-CZ"/>
        </w:rPr>
        <w:t>-</w:t>
      </w:r>
      <w:r w:rsidR="002D4C4A">
        <w:rPr>
          <w:rFonts w:eastAsia="Times New Roman"/>
          <w:color w:val="000000"/>
          <w:lang w:eastAsia="cs-CZ"/>
        </w:rPr>
        <w:t xml:space="preserve">called </w:t>
      </w:r>
      <w:r w:rsidR="0002363B">
        <w:rPr>
          <w:rFonts w:eastAsia="Times New Roman"/>
          <w:color w:val="000000"/>
          <w:lang w:eastAsia="cs-CZ"/>
        </w:rPr>
        <w:t xml:space="preserve">support measures. The Act </w:t>
      </w:r>
      <w:r w:rsidR="002D4C4A">
        <w:rPr>
          <w:rFonts w:eastAsia="Times New Roman"/>
          <w:color w:val="000000"/>
          <w:lang w:eastAsia="cs-CZ"/>
        </w:rPr>
        <w:t xml:space="preserve">lists the support measures, differentiates them into five categories, regulates assessment process, and </w:t>
      </w:r>
      <w:r w:rsidR="009726BC">
        <w:rPr>
          <w:rFonts w:eastAsia="Times New Roman"/>
          <w:color w:val="000000"/>
          <w:lang w:eastAsia="cs-CZ"/>
        </w:rPr>
        <w:t xml:space="preserve">the </w:t>
      </w:r>
      <w:r w:rsidR="002D4C4A">
        <w:rPr>
          <w:rFonts w:eastAsia="Times New Roman"/>
          <w:color w:val="000000"/>
          <w:lang w:eastAsia="cs-CZ"/>
        </w:rPr>
        <w:t xml:space="preserve">delivery of </w:t>
      </w:r>
      <w:r w:rsidR="0002363B">
        <w:rPr>
          <w:rFonts w:eastAsia="Times New Roman"/>
          <w:color w:val="000000"/>
          <w:lang w:eastAsia="cs-CZ"/>
        </w:rPr>
        <w:t xml:space="preserve">support. The </w:t>
      </w:r>
      <w:r w:rsidR="0002363B" w:rsidRPr="00B4419A">
        <w:rPr>
          <w:rFonts w:eastAsia="Times New Roman"/>
          <w:color w:val="000000"/>
          <w:lang w:eastAsia="cs-CZ"/>
        </w:rPr>
        <w:t>Act</w:t>
      </w:r>
      <w:r w:rsidR="002D4C4A" w:rsidRPr="00B4419A">
        <w:rPr>
          <w:rFonts w:eastAsia="Times New Roman"/>
          <w:color w:val="000000"/>
          <w:lang w:eastAsia="cs-CZ"/>
        </w:rPr>
        <w:t xml:space="preserve"> is regarded as an important step towards equal rights and opportunities in education</w:t>
      </w:r>
      <w:r w:rsidR="009726BC">
        <w:rPr>
          <w:rFonts w:eastAsia="Times New Roman"/>
          <w:color w:val="000000"/>
          <w:lang w:eastAsia="cs-CZ"/>
        </w:rPr>
        <w:t>.</w:t>
      </w:r>
      <w:r w:rsidR="0002363B" w:rsidRPr="00B4419A">
        <w:rPr>
          <w:rStyle w:val="FootnoteReference"/>
          <w:rFonts w:eastAsia="Times New Roman"/>
          <w:color w:val="000000"/>
          <w:lang w:eastAsia="cs-CZ"/>
        </w:rPr>
        <w:footnoteReference w:id="20"/>
      </w:r>
      <w:r w:rsidR="0002363B" w:rsidRPr="00B4419A">
        <w:rPr>
          <w:rFonts w:eastAsia="Times New Roman"/>
          <w:color w:val="000000"/>
          <w:lang w:eastAsia="cs-CZ"/>
        </w:rPr>
        <w:t xml:space="preserve"> </w:t>
      </w:r>
      <w:r w:rsidR="00B4419A" w:rsidRPr="00B4419A">
        <w:rPr>
          <w:bCs/>
          <w:iCs/>
        </w:rPr>
        <w:t>Ho</w:t>
      </w:r>
      <w:r w:rsidR="004775A0">
        <w:rPr>
          <w:bCs/>
          <w:iCs/>
        </w:rPr>
        <w:t xml:space="preserve">wever, </w:t>
      </w:r>
      <w:r w:rsidR="009726BC">
        <w:rPr>
          <w:bCs/>
          <w:iCs/>
        </w:rPr>
        <w:t xml:space="preserve">an </w:t>
      </w:r>
      <w:r w:rsidR="004775A0">
        <w:rPr>
          <w:bCs/>
          <w:iCs/>
        </w:rPr>
        <w:t xml:space="preserve">absence of rules for </w:t>
      </w:r>
      <w:r w:rsidR="009726BC">
        <w:rPr>
          <w:bCs/>
          <w:iCs/>
        </w:rPr>
        <w:t xml:space="preserve">the </w:t>
      </w:r>
      <w:r w:rsidR="00B4419A" w:rsidRPr="00B4419A">
        <w:rPr>
          <w:bCs/>
          <w:iCs/>
        </w:rPr>
        <w:t xml:space="preserve">education of children with a </w:t>
      </w:r>
      <w:r w:rsidR="006740A5" w:rsidRPr="00B4419A">
        <w:rPr>
          <w:bCs/>
          <w:iCs/>
        </w:rPr>
        <w:t xml:space="preserve">severe and </w:t>
      </w:r>
      <w:r w:rsidR="006740A5">
        <w:rPr>
          <w:bCs/>
          <w:iCs/>
        </w:rPr>
        <w:t xml:space="preserve">profound intellectual disability </w:t>
      </w:r>
      <w:proofErr w:type="gramStart"/>
      <w:r w:rsidR="009726BC">
        <w:rPr>
          <w:bCs/>
          <w:iCs/>
        </w:rPr>
        <w:t xml:space="preserve">still </w:t>
      </w:r>
      <w:r w:rsidR="00B4419A" w:rsidRPr="00B4419A">
        <w:rPr>
          <w:bCs/>
          <w:iCs/>
        </w:rPr>
        <w:t>remains</w:t>
      </w:r>
      <w:proofErr w:type="gramEnd"/>
      <w:r w:rsidR="00B4419A" w:rsidRPr="00B4419A">
        <w:rPr>
          <w:bCs/>
          <w:iCs/>
        </w:rPr>
        <w:t xml:space="preserve">. </w:t>
      </w:r>
      <w:r w:rsidR="00B4419A">
        <w:rPr>
          <w:bCs/>
          <w:iCs/>
        </w:rPr>
        <w:t xml:space="preserve"> </w:t>
      </w:r>
    </w:p>
    <w:p w14:paraId="6DD4EA34" w14:textId="77777777" w:rsidR="009E4E15" w:rsidRDefault="009E4E15" w:rsidP="006740A5">
      <w:pPr>
        <w:autoSpaceDE w:val="0"/>
        <w:autoSpaceDN w:val="0"/>
        <w:adjustRightInd w:val="0"/>
        <w:jc w:val="both"/>
        <w:rPr>
          <w:rFonts w:ascii="Tahoma" w:hAnsi="Tahoma" w:cs="Tahoma"/>
          <w:bCs/>
          <w:iCs/>
          <w:sz w:val="22"/>
          <w:szCs w:val="22"/>
        </w:rPr>
      </w:pPr>
    </w:p>
    <w:p w14:paraId="492FF16E" w14:textId="56DA7BEA" w:rsidR="00C654C3" w:rsidRDefault="00C654C3" w:rsidP="006740A5">
      <w:pPr>
        <w:autoSpaceDE w:val="0"/>
        <w:autoSpaceDN w:val="0"/>
        <w:adjustRightInd w:val="0"/>
        <w:jc w:val="both"/>
      </w:pPr>
      <w:r w:rsidRPr="00D5025F">
        <w:rPr>
          <w:iCs/>
          <w:noProof/>
        </w:rPr>
        <w:t xml:space="preserve">The Czech Republic </w:t>
      </w:r>
      <w:r w:rsidR="009726BC">
        <w:rPr>
          <w:iCs/>
          <w:noProof/>
        </w:rPr>
        <w:t>established</w:t>
      </w:r>
      <w:r w:rsidR="009726BC" w:rsidRPr="00D5025F">
        <w:rPr>
          <w:iCs/>
          <w:noProof/>
        </w:rPr>
        <w:t xml:space="preserve"> </w:t>
      </w:r>
      <w:r w:rsidRPr="00D5025F">
        <w:rPr>
          <w:iCs/>
          <w:noProof/>
        </w:rPr>
        <w:t>a right of all children to attend pre-school preparatory c</w:t>
      </w:r>
      <w:r w:rsidR="0002363B">
        <w:rPr>
          <w:iCs/>
          <w:noProof/>
        </w:rPr>
        <w:t>lasses,</w:t>
      </w:r>
      <w:r w:rsidRPr="00D5025F">
        <w:rPr>
          <w:iCs/>
          <w:noProof/>
        </w:rPr>
        <w:t xml:space="preserve"> introducing a compulsory year of preschool education and subsequently guaranteeing places in kindergartens and strengthening support for children with special education needs.</w:t>
      </w:r>
      <w:r w:rsidR="0002363B">
        <w:rPr>
          <w:rStyle w:val="FootnoteReference"/>
          <w:iCs/>
          <w:noProof/>
        </w:rPr>
        <w:footnoteReference w:id="21"/>
      </w:r>
      <w:r w:rsidR="00B4419A">
        <w:rPr>
          <w:iCs/>
          <w:noProof/>
        </w:rPr>
        <w:t xml:space="preserve"> </w:t>
      </w:r>
      <w:r w:rsidR="009726BC">
        <w:rPr>
          <w:iCs/>
          <w:noProof/>
        </w:rPr>
        <w:t xml:space="preserve">ESF funds have been used to establish some 9,000 new places in kindergartens (see 2018 NRP). </w:t>
      </w:r>
      <w:r w:rsidR="00B4419A">
        <w:t>I</w:t>
      </w:r>
      <w:r w:rsidR="00B4419A" w:rsidRPr="002A548F">
        <w:t xml:space="preserve">t would be important to monitor </w:t>
      </w:r>
      <w:r w:rsidR="00086DAC">
        <w:t>impact of this measure on disabled children and their families</w:t>
      </w:r>
      <w:r w:rsidR="00B4419A" w:rsidRPr="002A548F">
        <w:t xml:space="preserve"> in the </w:t>
      </w:r>
      <w:r w:rsidR="000C7BB9">
        <w:t>next</w:t>
      </w:r>
      <w:r w:rsidR="00B4419A" w:rsidRPr="002A548F">
        <w:t xml:space="preserve"> policy cycle.</w:t>
      </w:r>
    </w:p>
    <w:p w14:paraId="7B80CEE8" w14:textId="229987B6" w:rsidR="00C654C3" w:rsidRPr="00B4419A" w:rsidRDefault="00C654C3" w:rsidP="006740A5">
      <w:pPr>
        <w:autoSpaceDE w:val="0"/>
        <w:autoSpaceDN w:val="0"/>
        <w:adjustRightInd w:val="0"/>
        <w:jc w:val="both"/>
        <w:rPr>
          <w:rFonts w:ascii="Tahoma" w:hAnsi="Tahoma" w:cs="Tahoma"/>
          <w:bCs/>
          <w:iCs/>
        </w:rPr>
      </w:pPr>
    </w:p>
    <w:p w14:paraId="7CC73378" w14:textId="010E8BCB" w:rsidR="00C0289E" w:rsidRPr="00B25DFD" w:rsidRDefault="00C0289E" w:rsidP="006740A5">
      <w:pPr>
        <w:autoSpaceDE w:val="0"/>
        <w:autoSpaceDN w:val="0"/>
        <w:adjustRightInd w:val="0"/>
        <w:jc w:val="both"/>
        <w:rPr>
          <w:b/>
          <w:bCs/>
          <w:iCs/>
        </w:rPr>
      </w:pPr>
      <w:r w:rsidRPr="00B25DFD">
        <w:rPr>
          <w:b/>
          <w:bCs/>
          <w:iCs/>
        </w:rPr>
        <w:t>Special schooling</w:t>
      </w:r>
    </w:p>
    <w:p w14:paraId="19F1FF6C" w14:textId="3D35BD24" w:rsidR="00D5025F" w:rsidRPr="00B4419A" w:rsidRDefault="00C0289E" w:rsidP="006740A5">
      <w:pPr>
        <w:autoSpaceDE w:val="0"/>
        <w:autoSpaceDN w:val="0"/>
        <w:adjustRightInd w:val="0"/>
        <w:jc w:val="both"/>
      </w:pPr>
      <w:r w:rsidRPr="00C0289E">
        <w:rPr>
          <w:bCs/>
          <w:iCs/>
        </w:rPr>
        <w:t xml:space="preserve">As reported </w:t>
      </w:r>
      <w:r>
        <w:rPr>
          <w:bCs/>
          <w:iCs/>
        </w:rPr>
        <w:t>in previous years</w:t>
      </w:r>
      <w:r w:rsidRPr="00C0289E">
        <w:rPr>
          <w:bCs/>
          <w:iCs/>
        </w:rPr>
        <w:t>, an extensive network of special schools might play a role in preventing early-school leav</w:t>
      </w:r>
      <w:r>
        <w:rPr>
          <w:bCs/>
          <w:iCs/>
        </w:rPr>
        <w:t xml:space="preserve">ing among some groups </w:t>
      </w:r>
      <w:r w:rsidRPr="00C0289E">
        <w:rPr>
          <w:bCs/>
          <w:iCs/>
        </w:rPr>
        <w:t>of disabled children.</w:t>
      </w:r>
      <w:r>
        <w:rPr>
          <w:bCs/>
          <w:iCs/>
        </w:rPr>
        <w:t xml:space="preserve"> In practice, however, this segregation may mask an underlying social exclusion. </w:t>
      </w:r>
      <w:r w:rsidR="00741074">
        <w:rPr>
          <w:bCs/>
          <w:iCs/>
        </w:rPr>
        <w:t>The</w:t>
      </w:r>
      <w:r w:rsidR="00B4419A" w:rsidRPr="00D34A88">
        <w:rPr>
          <w:bCs/>
          <w:iCs/>
        </w:rPr>
        <w:t xml:space="preserve"> </w:t>
      </w:r>
      <w:r>
        <w:rPr>
          <w:bCs/>
          <w:iCs/>
        </w:rPr>
        <w:t xml:space="preserve">traditional </w:t>
      </w:r>
      <w:r w:rsidR="00B4419A" w:rsidRPr="00D34A88">
        <w:rPr>
          <w:bCs/>
          <w:iCs/>
        </w:rPr>
        <w:t>two-track</w:t>
      </w:r>
      <w:r w:rsidR="00D5025F" w:rsidRPr="00D34A88">
        <w:rPr>
          <w:bCs/>
          <w:iCs/>
        </w:rPr>
        <w:t xml:space="preserve"> </w:t>
      </w:r>
      <w:r w:rsidR="00741074">
        <w:rPr>
          <w:bCs/>
          <w:iCs/>
        </w:rPr>
        <w:t xml:space="preserve">school </w:t>
      </w:r>
      <w:r w:rsidR="00D5025F" w:rsidRPr="00D34A88">
        <w:rPr>
          <w:bCs/>
          <w:iCs/>
        </w:rPr>
        <w:t xml:space="preserve">system (mainstream and special) </w:t>
      </w:r>
      <w:r>
        <w:rPr>
          <w:bCs/>
          <w:iCs/>
        </w:rPr>
        <w:t>became</w:t>
      </w:r>
      <w:r w:rsidR="00B4419A" w:rsidRPr="00D34A88">
        <w:rPr>
          <w:bCs/>
          <w:iCs/>
        </w:rPr>
        <w:t xml:space="preserve"> </w:t>
      </w:r>
      <w:r>
        <w:rPr>
          <w:bCs/>
          <w:iCs/>
        </w:rPr>
        <w:t xml:space="preserve">a </w:t>
      </w:r>
      <w:r w:rsidR="00B4419A" w:rsidRPr="00D34A88">
        <w:rPr>
          <w:bCs/>
          <w:iCs/>
        </w:rPr>
        <w:t>three-track</w:t>
      </w:r>
      <w:r w:rsidR="00D5025F" w:rsidRPr="00D34A88">
        <w:rPr>
          <w:bCs/>
          <w:iCs/>
        </w:rPr>
        <w:t xml:space="preserve"> system</w:t>
      </w:r>
      <w:r w:rsidR="00741074">
        <w:rPr>
          <w:bCs/>
          <w:iCs/>
        </w:rPr>
        <w:t xml:space="preserve"> </w:t>
      </w:r>
      <w:r>
        <w:rPr>
          <w:bCs/>
          <w:iCs/>
        </w:rPr>
        <w:t xml:space="preserve">in the 1990s </w:t>
      </w:r>
      <w:r w:rsidR="00086DAC">
        <w:rPr>
          <w:bCs/>
          <w:iCs/>
        </w:rPr>
        <w:t>as a result of the changes in legislation</w:t>
      </w:r>
      <w:r w:rsidR="00D5025F" w:rsidRPr="00D34A88">
        <w:rPr>
          <w:bCs/>
          <w:iCs/>
        </w:rPr>
        <w:t xml:space="preserve">. </w:t>
      </w:r>
      <w:r w:rsidR="000C7BB9" w:rsidRPr="00D34A88">
        <w:t xml:space="preserve">First, </w:t>
      </w:r>
      <w:r w:rsidR="0021177B">
        <w:t xml:space="preserve">is </w:t>
      </w:r>
      <w:r w:rsidR="000C7BB9" w:rsidRPr="00D34A88">
        <w:t>so</w:t>
      </w:r>
      <w:r>
        <w:t>-</w:t>
      </w:r>
      <w:r w:rsidR="000C7BB9" w:rsidRPr="00D34A88">
        <w:t xml:space="preserve">called </w:t>
      </w:r>
      <w:r w:rsidR="00D5025F" w:rsidRPr="00D34A88">
        <w:t>individual integration where a child is educated in a mainst</w:t>
      </w:r>
      <w:r w:rsidR="000C7BB9" w:rsidRPr="00D34A88">
        <w:t>ream classroom. Second</w:t>
      </w:r>
      <w:r w:rsidR="00B4419A" w:rsidRPr="00D34A88">
        <w:t xml:space="preserve">, a child can </w:t>
      </w:r>
      <w:r w:rsidR="00D5025F" w:rsidRPr="00D34A88">
        <w:t>attend a special cl</w:t>
      </w:r>
      <w:r w:rsidR="00B4419A" w:rsidRPr="00D34A88">
        <w:t xml:space="preserve">assroom </w:t>
      </w:r>
      <w:r w:rsidR="00D5025F" w:rsidRPr="00D34A88">
        <w:t>attached to a mainstream school. Lastly,</w:t>
      </w:r>
      <w:r w:rsidR="00D5025F" w:rsidRPr="00B4419A">
        <w:t xml:space="preserve"> </w:t>
      </w:r>
      <w:r>
        <w:t xml:space="preserve">a </w:t>
      </w:r>
      <w:r w:rsidR="00D5025F" w:rsidRPr="00B4419A">
        <w:t xml:space="preserve">disabled pupil </w:t>
      </w:r>
      <w:r>
        <w:t xml:space="preserve">may </w:t>
      </w:r>
      <w:r w:rsidR="00B4419A">
        <w:t>attend</w:t>
      </w:r>
      <w:r w:rsidR="00D5025F" w:rsidRPr="00B4419A">
        <w:t xml:space="preserve"> </w:t>
      </w:r>
      <w:r w:rsidR="00D34A88">
        <w:t xml:space="preserve">a </w:t>
      </w:r>
      <w:r w:rsidR="00D5025F" w:rsidRPr="00B4419A">
        <w:t xml:space="preserve">special school. Parents (legal representatives) are eligible to make decision on </w:t>
      </w:r>
      <w:r>
        <w:t xml:space="preserve">the </w:t>
      </w:r>
      <w:r w:rsidR="00D5025F" w:rsidRPr="00B4419A">
        <w:t>education trajectory of their child</w:t>
      </w:r>
      <w:r w:rsidR="00B4419A">
        <w:t xml:space="preserve"> (special or mainstream)</w:t>
      </w:r>
      <w:r w:rsidR="00D5025F" w:rsidRPr="00B4419A">
        <w:t xml:space="preserve">. </w:t>
      </w:r>
      <w:r w:rsidR="00D5025F" w:rsidRPr="00A10533">
        <w:t xml:space="preserve">Data </w:t>
      </w:r>
      <w:r w:rsidR="000C7BB9" w:rsidRPr="00A10533">
        <w:t>suggests</w:t>
      </w:r>
      <w:r w:rsidR="00D5025F" w:rsidRPr="00A10533">
        <w:t xml:space="preserve"> that </w:t>
      </w:r>
      <w:r w:rsidR="00C74712" w:rsidRPr="00A10533">
        <w:t xml:space="preserve">the </w:t>
      </w:r>
      <w:r w:rsidR="00D5025F" w:rsidRPr="00A10533">
        <w:t>n</w:t>
      </w:r>
      <w:r w:rsidR="00B4419A" w:rsidRPr="00A10533">
        <w:t xml:space="preserve">umber of special </w:t>
      </w:r>
      <w:r w:rsidR="00D5025F" w:rsidRPr="00A10533">
        <w:t xml:space="preserve">schools is gradually declining </w:t>
      </w:r>
      <w:r w:rsidR="00D5025F" w:rsidRPr="00A10533">
        <w:lastRenderedPageBreak/>
        <w:t>while number of disabled children in mainstream schools is increasing.</w:t>
      </w:r>
      <w:r w:rsidR="00D5025F" w:rsidRPr="00A10533">
        <w:rPr>
          <w:rStyle w:val="FootnoteReference"/>
        </w:rPr>
        <w:footnoteReference w:id="22"/>
      </w:r>
      <w:r w:rsidR="0039104C">
        <w:t xml:space="preserve"> Data obtained from the Ministry databases (</w:t>
      </w:r>
      <w:proofErr w:type="spellStart"/>
      <w:r w:rsidR="0039104C" w:rsidRPr="0039104C">
        <w:t>MoEYS</w:t>
      </w:r>
      <w:proofErr w:type="spellEnd"/>
      <w:r w:rsidR="0039104C">
        <w:t>)</w:t>
      </w:r>
      <w:r w:rsidR="0039104C" w:rsidRPr="0039104C">
        <w:t xml:space="preserve"> databases</w:t>
      </w:r>
      <w:r w:rsidR="0039104C">
        <w:t xml:space="preserve"> by the European Agency, for the school year 2014/15, indicated that up to 16,000 primary age children were not enrolled in formal education (but mainly due to postponement of starting school). Around 27,300 primary school children and 14,000 secondary school pupils were not enrolled in mainstream settings, and of those that were enrolled there around 3,000 and 5,000 were not enrolled in mainstream classes, respectively.</w:t>
      </w:r>
      <w:r w:rsidR="0039104C">
        <w:rPr>
          <w:rStyle w:val="FootnoteReference"/>
        </w:rPr>
        <w:footnoteReference w:id="23"/>
      </w:r>
      <w:r w:rsidR="0039104C">
        <w:t xml:space="preserve"> </w:t>
      </w:r>
    </w:p>
    <w:p w14:paraId="05127882" w14:textId="77777777" w:rsidR="00741074" w:rsidRDefault="00741074" w:rsidP="006740A5">
      <w:pPr>
        <w:shd w:val="clear" w:color="auto" w:fill="FFFFFF"/>
        <w:jc w:val="both"/>
        <w:rPr>
          <w:rFonts w:eastAsia="Times New Roman"/>
          <w:color w:val="000000"/>
          <w:lang w:eastAsia="cs-CZ"/>
        </w:rPr>
      </w:pPr>
    </w:p>
    <w:p w14:paraId="66CE50E9" w14:textId="6B768D71" w:rsidR="0039104C" w:rsidRPr="00B25DFD" w:rsidRDefault="0039104C" w:rsidP="006740A5">
      <w:pPr>
        <w:shd w:val="clear" w:color="auto" w:fill="FFFFFF"/>
        <w:jc w:val="both"/>
        <w:rPr>
          <w:rFonts w:eastAsia="Times New Roman"/>
          <w:b/>
          <w:color w:val="000000"/>
          <w:lang w:eastAsia="cs-CZ"/>
        </w:rPr>
      </w:pPr>
      <w:r w:rsidRPr="00B25DFD">
        <w:rPr>
          <w:rFonts w:eastAsia="Times New Roman"/>
          <w:b/>
          <w:color w:val="000000"/>
          <w:lang w:eastAsia="cs-CZ"/>
        </w:rPr>
        <w:t>Evaluation of the Amendment Act</w:t>
      </w:r>
    </w:p>
    <w:p w14:paraId="0FE4C400" w14:textId="0075E968" w:rsidR="002D4C4A" w:rsidRDefault="00741074" w:rsidP="006740A5">
      <w:pPr>
        <w:shd w:val="clear" w:color="auto" w:fill="FFFFFF"/>
        <w:jc w:val="both"/>
        <w:rPr>
          <w:rFonts w:eastAsia="Times New Roman"/>
          <w:color w:val="000000"/>
          <w:lang w:eastAsia="cs-CZ"/>
        </w:rPr>
      </w:pPr>
      <w:r>
        <w:rPr>
          <w:rFonts w:eastAsia="Times New Roman"/>
          <w:color w:val="000000"/>
          <w:lang w:eastAsia="cs-CZ"/>
        </w:rPr>
        <w:t>A</w:t>
      </w:r>
      <w:r w:rsidR="002D4C4A">
        <w:rPr>
          <w:rFonts w:eastAsia="Times New Roman"/>
          <w:color w:val="000000"/>
          <w:lang w:eastAsia="cs-CZ"/>
        </w:rPr>
        <w:t>t</w:t>
      </w:r>
      <w:r>
        <w:rPr>
          <w:rFonts w:eastAsia="Times New Roman"/>
          <w:color w:val="000000"/>
          <w:lang w:eastAsia="cs-CZ"/>
        </w:rPr>
        <w:t xml:space="preserve"> t</w:t>
      </w:r>
      <w:r w:rsidR="002D4C4A">
        <w:rPr>
          <w:rFonts w:eastAsia="Times New Roman"/>
          <w:color w:val="000000"/>
          <w:lang w:eastAsia="cs-CZ"/>
        </w:rPr>
        <w:t>he end of the school year 2016/2017</w:t>
      </w:r>
      <w:r w:rsidR="00D34A88">
        <w:rPr>
          <w:rFonts w:eastAsia="Times New Roman"/>
          <w:color w:val="000000"/>
          <w:lang w:eastAsia="cs-CZ"/>
        </w:rPr>
        <w:t>,</w:t>
      </w:r>
      <w:r w:rsidR="002D4C4A">
        <w:rPr>
          <w:rFonts w:eastAsia="Times New Roman"/>
          <w:color w:val="000000"/>
          <w:lang w:eastAsia="cs-CZ"/>
        </w:rPr>
        <w:t xml:space="preserve"> a study was conducted to explore</w:t>
      </w:r>
      <w:r w:rsidR="0039104C">
        <w:rPr>
          <w:rFonts w:eastAsia="Times New Roman"/>
          <w:color w:val="000000"/>
          <w:lang w:eastAsia="cs-CZ"/>
        </w:rPr>
        <w:t xml:space="preserve"> the</w:t>
      </w:r>
      <w:r w:rsidR="002D4C4A">
        <w:rPr>
          <w:rFonts w:eastAsia="Times New Roman"/>
          <w:color w:val="000000"/>
          <w:lang w:eastAsia="cs-CZ"/>
        </w:rPr>
        <w:t xml:space="preserve"> initial experience of </w:t>
      </w:r>
      <w:r w:rsidR="0021177B">
        <w:rPr>
          <w:rFonts w:eastAsia="Times New Roman"/>
          <w:color w:val="000000"/>
          <w:lang w:eastAsia="cs-CZ"/>
        </w:rPr>
        <w:t xml:space="preserve">head teachers and teachers in </w:t>
      </w:r>
      <w:r w:rsidR="002D4C4A">
        <w:rPr>
          <w:rFonts w:eastAsia="Times New Roman"/>
          <w:color w:val="000000"/>
          <w:lang w:eastAsia="cs-CZ"/>
        </w:rPr>
        <w:t>selected primary schools with implementation of</w:t>
      </w:r>
      <w:r>
        <w:rPr>
          <w:rFonts w:eastAsia="Times New Roman"/>
          <w:color w:val="000000"/>
          <w:lang w:eastAsia="cs-CZ"/>
        </w:rPr>
        <w:t xml:space="preserve"> the Amendment</w:t>
      </w:r>
      <w:r w:rsidR="002D4C4A">
        <w:rPr>
          <w:rFonts w:eastAsia="Times New Roman"/>
          <w:color w:val="000000"/>
          <w:lang w:eastAsia="cs-CZ"/>
        </w:rPr>
        <w:t xml:space="preserve">. </w:t>
      </w:r>
      <w:r w:rsidR="0039104C">
        <w:rPr>
          <w:rFonts w:eastAsia="Times New Roman"/>
          <w:color w:val="000000"/>
          <w:lang w:eastAsia="cs-CZ"/>
        </w:rPr>
        <w:t>They</w:t>
      </w:r>
      <w:r w:rsidR="002D4C4A">
        <w:rPr>
          <w:rFonts w:eastAsia="Times New Roman"/>
          <w:color w:val="000000"/>
          <w:lang w:eastAsia="cs-CZ"/>
        </w:rPr>
        <w:t xml:space="preserve"> were asked about barriers and facilitators of inclusion. Four major barriers were highlighted.</w:t>
      </w:r>
      <w:r w:rsidR="002D4C4A">
        <w:rPr>
          <w:rStyle w:val="FootnoteReference"/>
          <w:rFonts w:eastAsia="Times New Roman"/>
          <w:color w:val="000000"/>
          <w:lang w:eastAsia="cs-CZ"/>
        </w:rPr>
        <w:footnoteReference w:id="24"/>
      </w:r>
      <w:r>
        <w:rPr>
          <w:rFonts w:eastAsia="Times New Roman"/>
          <w:color w:val="000000"/>
          <w:lang w:eastAsia="cs-CZ"/>
        </w:rPr>
        <w:t xml:space="preserve"> First, </w:t>
      </w:r>
      <w:r w:rsidR="0039104C">
        <w:rPr>
          <w:rFonts w:eastAsia="Times New Roman"/>
          <w:color w:val="000000"/>
          <w:lang w:eastAsia="cs-CZ"/>
        </w:rPr>
        <w:t xml:space="preserve">there </w:t>
      </w:r>
      <w:r>
        <w:rPr>
          <w:rFonts w:eastAsia="Times New Roman"/>
          <w:color w:val="000000"/>
          <w:lang w:eastAsia="cs-CZ"/>
        </w:rPr>
        <w:t xml:space="preserve">was </w:t>
      </w:r>
      <w:r w:rsidR="002D4C4A">
        <w:rPr>
          <w:rFonts w:eastAsia="Times New Roman"/>
          <w:color w:val="000000"/>
          <w:lang w:eastAsia="cs-CZ"/>
        </w:rPr>
        <w:t>absence or scarcity of professional</w:t>
      </w:r>
      <w:r w:rsidR="000C7BB9">
        <w:rPr>
          <w:rFonts w:eastAsia="Times New Roman"/>
          <w:color w:val="000000"/>
          <w:lang w:eastAsia="cs-CZ"/>
        </w:rPr>
        <w:t xml:space="preserve"> support to schools (</w:t>
      </w:r>
      <w:r>
        <w:rPr>
          <w:rFonts w:eastAsia="Times New Roman"/>
          <w:color w:val="000000"/>
          <w:lang w:eastAsia="cs-CZ"/>
        </w:rPr>
        <w:t xml:space="preserve">e.g. </w:t>
      </w:r>
      <w:r w:rsidR="001A1BD2">
        <w:rPr>
          <w:rFonts w:eastAsia="Times New Roman"/>
          <w:color w:val="000000"/>
          <w:lang w:eastAsia="cs-CZ"/>
        </w:rPr>
        <w:t>teaching</w:t>
      </w:r>
      <w:r w:rsidR="002D4C4A">
        <w:rPr>
          <w:rFonts w:eastAsia="Times New Roman"/>
          <w:color w:val="000000"/>
          <w:lang w:eastAsia="cs-CZ"/>
        </w:rPr>
        <w:t xml:space="preserve"> assistants, special educators and psychologists</w:t>
      </w:r>
      <w:r w:rsidR="000C7BB9">
        <w:rPr>
          <w:rFonts w:eastAsia="Times New Roman"/>
          <w:color w:val="000000"/>
          <w:lang w:eastAsia="cs-CZ"/>
        </w:rPr>
        <w:t>)</w:t>
      </w:r>
      <w:r>
        <w:rPr>
          <w:rFonts w:eastAsia="Times New Roman"/>
          <w:color w:val="000000"/>
          <w:lang w:eastAsia="cs-CZ"/>
        </w:rPr>
        <w:t>. Second</w:t>
      </w:r>
      <w:r w:rsidR="0039104C">
        <w:rPr>
          <w:rFonts w:eastAsia="Times New Roman"/>
          <w:color w:val="000000"/>
          <w:lang w:eastAsia="cs-CZ"/>
        </w:rPr>
        <w:t>,</w:t>
      </w:r>
      <w:r>
        <w:rPr>
          <w:rFonts w:eastAsia="Times New Roman"/>
          <w:color w:val="000000"/>
          <w:lang w:eastAsia="cs-CZ"/>
        </w:rPr>
        <w:t xml:space="preserve"> </w:t>
      </w:r>
      <w:r w:rsidR="0039104C">
        <w:rPr>
          <w:rFonts w:eastAsia="Times New Roman"/>
          <w:color w:val="000000"/>
          <w:lang w:eastAsia="cs-CZ"/>
        </w:rPr>
        <w:t xml:space="preserve">one </w:t>
      </w:r>
      <w:r>
        <w:rPr>
          <w:rFonts w:eastAsia="Times New Roman"/>
          <w:color w:val="000000"/>
          <w:lang w:eastAsia="cs-CZ"/>
        </w:rPr>
        <w:t xml:space="preserve">barrier reported was </w:t>
      </w:r>
      <w:r w:rsidR="0021177B">
        <w:rPr>
          <w:rFonts w:eastAsia="Times New Roman"/>
          <w:color w:val="000000"/>
          <w:lang w:eastAsia="cs-CZ"/>
        </w:rPr>
        <w:t xml:space="preserve">the </w:t>
      </w:r>
      <w:r w:rsidR="002D4C4A">
        <w:rPr>
          <w:rFonts w:eastAsia="Times New Roman"/>
          <w:color w:val="000000"/>
          <w:lang w:eastAsia="cs-CZ"/>
        </w:rPr>
        <w:t xml:space="preserve">high number of pupils in one classroom, and the third was </w:t>
      </w:r>
      <w:r w:rsidR="0039104C">
        <w:rPr>
          <w:rFonts w:eastAsia="Times New Roman"/>
          <w:color w:val="000000"/>
          <w:lang w:eastAsia="cs-CZ"/>
        </w:rPr>
        <w:t xml:space="preserve">the </w:t>
      </w:r>
      <w:r w:rsidR="002D4C4A">
        <w:rPr>
          <w:rFonts w:eastAsia="Times New Roman"/>
          <w:color w:val="000000"/>
          <w:lang w:eastAsia="cs-CZ"/>
        </w:rPr>
        <w:t xml:space="preserve">additional </w:t>
      </w:r>
      <w:r>
        <w:rPr>
          <w:rFonts w:eastAsia="Times New Roman"/>
          <w:color w:val="000000"/>
          <w:lang w:eastAsia="cs-CZ"/>
        </w:rPr>
        <w:t>administrative workload for teachers</w:t>
      </w:r>
      <w:r w:rsidR="000C7BB9">
        <w:rPr>
          <w:rFonts w:eastAsia="Times New Roman"/>
          <w:color w:val="000000"/>
          <w:lang w:eastAsia="cs-CZ"/>
        </w:rPr>
        <w:t xml:space="preserve">. </w:t>
      </w:r>
      <w:r w:rsidR="002D4C4A">
        <w:rPr>
          <w:rFonts w:eastAsia="Times New Roman"/>
          <w:color w:val="000000"/>
          <w:lang w:eastAsia="cs-CZ"/>
        </w:rPr>
        <w:t xml:space="preserve">In addition, some teachers stated that they had incomplete </w:t>
      </w:r>
      <w:r w:rsidR="00086DAC">
        <w:rPr>
          <w:rFonts w:eastAsia="Times New Roman"/>
          <w:color w:val="000000"/>
          <w:lang w:eastAsia="cs-CZ"/>
        </w:rPr>
        <w:t xml:space="preserve">prior </w:t>
      </w:r>
      <w:r w:rsidR="002D4C4A">
        <w:rPr>
          <w:rFonts w:eastAsia="Times New Roman"/>
          <w:color w:val="000000"/>
          <w:lang w:eastAsia="cs-CZ"/>
        </w:rPr>
        <w:t>in</w:t>
      </w:r>
      <w:r w:rsidR="000C7BB9">
        <w:rPr>
          <w:rFonts w:eastAsia="Times New Roman"/>
          <w:color w:val="000000"/>
          <w:lang w:eastAsia="cs-CZ"/>
        </w:rPr>
        <w:t xml:space="preserve">formation about </w:t>
      </w:r>
      <w:r w:rsidR="00086DAC">
        <w:rPr>
          <w:rFonts w:eastAsia="Times New Roman"/>
          <w:color w:val="000000"/>
          <w:lang w:eastAsia="cs-CZ"/>
        </w:rPr>
        <w:t xml:space="preserve">the </w:t>
      </w:r>
      <w:r w:rsidR="000C7BB9">
        <w:rPr>
          <w:rFonts w:eastAsia="Times New Roman"/>
          <w:color w:val="000000"/>
          <w:lang w:eastAsia="cs-CZ"/>
        </w:rPr>
        <w:t xml:space="preserve">new policy and about </w:t>
      </w:r>
      <w:r w:rsidR="00086DAC">
        <w:rPr>
          <w:rFonts w:eastAsia="Times New Roman"/>
          <w:color w:val="000000"/>
          <w:lang w:eastAsia="cs-CZ"/>
        </w:rPr>
        <w:t xml:space="preserve">the </w:t>
      </w:r>
      <w:r w:rsidR="000C7BB9">
        <w:rPr>
          <w:rFonts w:eastAsia="Times New Roman"/>
          <w:color w:val="000000"/>
          <w:lang w:eastAsia="cs-CZ"/>
        </w:rPr>
        <w:t>implementation process</w:t>
      </w:r>
      <w:r w:rsidR="002D4C4A">
        <w:rPr>
          <w:rFonts w:eastAsia="Times New Roman"/>
          <w:color w:val="000000"/>
          <w:lang w:eastAsia="cs-CZ"/>
        </w:rPr>
        <w:t>.</w:t>
      </w:r>
    </w:p>
    <w:p w14:paraId="60ADFD1E" w14:textId="77777777" w:rsidR="000C7BB9" w:rsidRDefault="000C7BB9" w:rsidP="006740A5">
      <w:pPr>
        <w:shd w:val="clear" w:color="auto" w:fill="FFFFFF"/>
        <w:jc w:val="both"/>
        <w:rPr>
          <w:rFonts w:eastAsia="Times New Roman"/>
          <w:color w:val="000000"/>
          <w:lang w:eastAsia="cs-CZ"/>
        </w:rPr>
      </w:pPr>
    </w:p>
    <w:p w14:paraId="48C6C5D5" w14:textId="355B0EC9" w:rsidR="002D4C4A" w:rsidRDefault="002D4C4A" w:rsidP="006740A5">
      <w:pPr>
        <w:jc w:val="both"/>
        <w:rPr>
          <w:rFonts w:eastAsia="Times New Roman"/>
          <w:color w:val="000000"/>
          <w:lang w:eastAsia="cs-CZ"/>
        </w:rPr>
      </w:pPr>
      <w:r>
        <w:rPr>
          <w:rFonts w:eastAsia="Times New Roman"/>
          <w:color w:val="000000"/>
          <w:lang w:eastAsia="cs-CZ"/>
        </w:rPr>
        <w:t>The 2017 study focused also on facil</w:t>
      </w:r>
      <w:r w:rsidR="00741074">
        <w:rPr>
          <w:rFonts w:eastAsia="Times New Roman"/>
          <w:color w:val="000000"/>
          <w:lang w:eastAsia="cs-CZ"/>
        </w:rPr>
        <w:t xml:space="preserve">itators. The Amendment introduced </w:t>
      </w:r>
      <w:r>
        <w:rPr>
          <w:rFonts w:eastAsia="Times New Roman"/>
          <w:color w:val="000000"/>
          <w:lang w:eastAsia="cs-CZ"/>
        </w:rPr>
        <w:t xml:space="preserve">support </w:t>
      </w:r>
      <w:r w:rsidR="00741074">
        <w:rPr>
          <w:rFonts w:eastAsia="Times New Roman"/>
          <w:color w:val="000000"/>
          <w:lang w:eastAsia="cs-CZ"/>
        </w:rPr>
        <w:t xml:space="preserve">measures </w:t>
      </w:r>
      <w:r>
        <w:rPr>
          <w:rFonts w:eastAsia="Times New Roman"/>
          <w:color w:val="000000"/>
          <w:lang w:eastAsia="cs-CZ"/>
        </w:rPr>
        <w:t xml:space="preserve">and related financial incentives. </w:t>
      </w:r>
      <w:r w:rsidR="000C7BB9">
        <w:rPr>
          <w:rFonts w:eastAsia="Times New Roman"/>
          <w:color w:val="000000"/>
          <w:lang w:eastAsia="cs-CZ"/>
        </w:rPr>
        <w:t>The h</w:t>
      </w:r>
      <w:r>
        <w:rPr>
          <w:rFonts w:eastAsia="Times New Roman"/>
          <w:color w:val="000000"/>
          <w:lang w:eastAsia="cs-CZ"/>
        </w:rPr>
        <w:t xml:space="preserve">ead teachers were far more positive about the Amendment as a facilitator than the teachers. However, </w:t>
      </w:r>
      <w:r w:rsidR="00D34A88">
        <w:rPr>
          <w:rFonts w:eastAsia="Times New Roman"/>
          <w:color w:val="000000"/>
          <w:lang w:eastAsia="cs-CZ"/>
        </w:rPr>
        <w:t>three quarters</w:t>
      </w:r>
      <w:r>
        <w:rPr>
          <w:rFonts w:eastAsia="Times New Roman"/>
          <w:color w:val="000000"/>
          <w:lang w:eastAsia="cs-CZ"/>
        </w:rPr>
        <w:t xml:space="preserve"> of </w:t>
      </w:r>
      <w:r w:rsidR="000C7BB9">
        <w:rPr>
          <w:rFonts w:eastAsia="Times New Roman"/>
          <w:color w:val="000000"/>
          <w:lang w:eastAsia="cs-CZ"/>
        </w:rPr>
        <w:t>the teachers regarded the A</w:t>
      </w:r>
      <w:r>
        <w:rPr>
          <w:rFonts w:eastAsia="Times New Roman"/>
          <w:color w:val="000000"/>
          <w:lang w:eastAsia="cs-CZ"/>
        </w:rPr>
        <w:t>mend</w:t>
      </w:r>
      <w:r w:rsidR="00741074">
        <w:rPr>
          <w:rFonts w:eastAsia="Times New Roman"/>
          <w:color w:val="000000"/>
          <w:lang w:eastAsia="cs-CZ"/>
        </w:rPr>
        <w:t>ment as generally helpful</w:t>
      </w:r>
      <w:r w:rsidR="0039104C">
        <w:rPr>
          <w:rFonts w:eastAsia="Times New Roman"/>
          <w:color w:val="000000"/>
          <w:lang w:eastAsia="cs-CZ"/>
        </w:rPr>
        <w:t xml:space="preserve"> and </w:t>
      </w:r>
      <w:r>
        <w:rPr>
          <w:rFonts w:eastAsia="Times New Roman"/>
          <w:color w:val="000000"/>
          <w:lang w:eastAsia="cs-CZ"/>
        </w:rPr>
        <w:t>35</w:t>
      </w:r>
      <w:r w:rsidR="0039104C">
        <w:rPr>
          <w:rFonts w:eastAsia="Times New Roman"/>
          <w:color w:val="000000"/>
          <w:lang w:eastAsia="cs-CZ"/>
        </w:rPr>
        <w:t>%</w:t>
      </w:r>
      <w:r>
        <w:rPr>
          <w:rFonts w:eastAsia="Times New Roman"/>
          <w:color w:val="000000"/>
          <w:lang w:eastAsia="cs-CZ"/>
        </w:rPr>
        <w:t xml:space="preserve"> reported that </w:t>
      </w:r>
      <w:r w:rsidR="0039104C">
        <w:rPr>
          <w:rFonts w:eastAsia="Times New Roman"/>
          <w:color w:val="000000"/>
          <w:lang w:eastAsia="cs-CZ"/>
        </w:rPr>
        <w:t>it</w:t>
      </w:r>
      <w:r>
        <w:rPr>
          <w:rFonts w:eastAsia="Times New Roman"/>
          <w:color w:val="000000"/>
          <w:lang w:eastAsia="cs-CZ"/>
        </w:rPr>
        <w:t xml:space="preserve"> was helpful for them </w:t>
      </w:r>
      <w:r w:rsidR="0039104C">
        <w:rPr>
          <w:rFonts w:eastAsia="Times New Roman"/>
          <w:color w:val="000000"/>
          <w:lang w:eastAsia="cs-CZ"/>
        </w:rPr>
        <w:t>in some way</w:t>
      </w:r>
      <w:r>
        <w:rPr>
          <w:rFonts w:eastAsia="Times New Roman"/>
          <w:color w:val="000000"/>
          <w:lang w:eastAsia="cs-CZ"/>
        </w:rPr>
        <w:t>.</w:t>
      </w:r>
      <w:r w:rsidR="0039104C">
        <w:rPr>
          <w:rFonts w:eastAsia="Times New Roman"/>
          <w:color w:val="000000"/>
          <w:lang w:eastAsia="cs-CZ"/>
        </w:rPr>
        <w:t xml:space="preserve"> </w:t>
      </w:r>
      <w:r>
        <w:rPr>
          <w:rFonts w:eastAsia="Times New Roman"/>
          <w:color w:val="000000"/>
          <w:lang w:eastAsia="cs-CZ"/>
        </w:rPr>
        <w:t xml:space="preserve">Two major facilitators of inclusive education were identified in the </w:t>
      </w:r>
      <w:r w:rsidR="00086DAC">
        <w:rPr>
          <w:rFonts w:eastAsia="Times New Roman"/>
          <w:color w:val="000000"/>
          <w:lang w:eastAsia="cs-CZ"/>
        </w:rPr>
        <w:t>study</w:t>
      </w:r>
      <w:r>
        <w:rPr>
          <w:rFonts w:eastAsia="Times New Roman"/>
          <w:color w:val="000000"/>
          <w:lang w:eastAsia="cs-CZ"/>
        </w:rPr>
        <w:t xml:space="preserve">. First, was </w:t>
      </w:r>
      <w:r w:rsidR="000C41FF">
        <w:rPr>
          <w:rFonts w:eastAsia="Times New Roman"/>
          <w:color w:val="000000"/>
          <w:lang w:eastAsia="cs-CZ"/>
        </w:rPr>
        <w:t xml:space="preserve">the </w:t>
      </w:r>
      <w:r>
        <w:rPr>
          <w:rFonts w:eastAsia="Times New Roman"/>
          <w:color w:val="000000"/>
          <w:lang w:eastAsia="cs-CZ"/>
        </w:rPr>
        <w:t xml:space="preserve">availability </w:t>
      </w:r>
      <w:r w:rsidR="00741074">
        <w:rPr>
          <w:rFonts w:eastAsia="Times New Roman"/>
          <w:color w:val="000000"/>
          <w:lang w:eastAsia="cs-CZ"/>
        </w:rPr>
        <w:t xml:space="preserve">of </w:t>
      </w:r>
      <w:r>
        <w:rPr>
          <w:rFonts w:eastAsia="Times New Roman"/>
          <w:color w:val="000000"/>
          <w:lang w:eastAsia="cs-CZ"/>
        </w:rPr>
        <w:t>financial incentives to cover s</w:t>
      </w:r>
      <w:r w:rsidR="001A1BD2">
        <w:rPr>
          <w:rFonts w:eastAsia="Times New Roman"/>
          <w:color w:val="000000"/>
          <w:lang w:eastAsia="cs-CZ"/>
        </w:rPr>
        <w:t>alaries for teaching</w:t>
      </w:r>
      <w:r>
        <w:rPr>
          <w:rFonts w:eastAsia="Times New Roman"/>
          <w:color w:val="000000"/>
          <w:lang w:eastAsia="cs-CZ"/>
        </w:rPr>
        <w:t xml:space="preserve"> assistants and teaching aids. The second most frequent facilitator reported was </w:t>
      </w:r>
      <w:r w:rsidR="000C41FF">
        <w:rPr>
          <w:rFonts w:eastAsia="Times New Roman"/>
          <w:color w:val="000000"/>
          <w:lang w:eastAsia="cs-CZ"/>
        </w:rPr>
        <w:t xml:space="preserve">the </w:t>
      </w:r>
      <w:r w:rsidR="00741074">
        <w:rPr>
          <w:rFonts w:eastAsia="Times New Roman"/>
          <w:color w:val="000000"/>
          <w:lang w:eastAsia="cs-CZ"/>
        </w:rPr>
        <w:t xml:space="preserve">opportunity to recruit </w:t>
      </w:r>
      <w:r w:rsidR="001A1BD2">
        <w:rPr>
          <w:rFonts w:eastAsia="Times New Roman"/>
          <w:color w:val="000000"/>
          <w:lang w:eastAsia="cs-CZ"/>
        </w:rPr>
        <w:t>teaching</w:t>
      </w:r>
      <w:r>
        <w:rPr>
          <w:rFonts w:eastAsia="Times New Roman"/>
          <w:color w:val="000000"/>
          <w:lang w:eastAsia="cs-CZ"/>
        </w:rPr>
        <w:t xml:space="preserve"> assistant</w:t>
      </w:r>
      <w:r w:rsidR="00741074">
        <w:rPr>
          <w:rFonts w:eastAsia="Times New Roman"/>
          <w:color w:val="000000"/>
          <w:lang w:eastAsia="cs-CZ"/>
        </w:rPr>
        <w:t>s</w:t>
      </w:r>
      <w:r>
        <w:rPr>
          <w:rFonts w:eastAsia="Times New Roman"/>
          <w:color w:val="000000"/>
          <w:lang w:eastAsia="cs-CZ"/>
        </w:rPr>
        <w:t>.</w:t>
      </w:r>
      <w:r w:rsidR="000C41FF">
        <w:rPr>
          <w:rFonts w:eastAsia="Times New Roman"/>
          <w:color w:val="000000"/>
          <w:lang w:eastAsia="cs-CZ"/>
        </w:rPr>
        <w:t xml:space="preserve"> Adequate resourcing was thus viewed as the key to success.</w:t>
      </w:r>
    </w:p>
    <w:p w14:paraId="499278AA" w14:textId="77777777" w:rsidR="0034784C" w:rsidRDefault="0034784C" w:rsidP="006740A5">
      <w:pPr>
        <w:jc w:val="both"/>
        <w:rPr>
          <w:rFonts w:eastAsia="Times New Roman"/>
          <w:color w:val="000000"/>
          <w:lang w:eastAsia="cs-CZ"/>
        </w:rPr>
      </w:pPr>
    </w:p>
    <w:p w14:paraId="0BF3C23D" w14:textId="180C8BBC" w:rsidR="002D4C4A" w:rsidRDefault="000C41FF" w:rsidP="006740A5">
      <w:pPr>
        <w:jc w:val="both"/>
        <w:rPr>
          <w:rFonts w:eastAsia="Times New Roman"/>
          <w:color w:val="000000"/>
          <w:lang w:eastAsia="cs-CZ"/>
        </w:rPr>
      </w:pPr>
      <w:r>
        <w:rPr>
          <w:rFonts w:eastAsia="Times New Roman"/>
          <w:color w:val="000000"/>
          <w:lang w:eastAsia="cs-CZ"/>
        </w:rPr>
        <w:t>The f</w:t>
      </w:r>
      <w:r w:rsidR="002D4C4A">
        <w:rPr>
          <w:rFonts w:eastAsia="Times New Roman"/>
          <w:color w:val="000000"/>
          <w:lang w:eastAsia="cs-CZ"/>
        </w:rPr>
        <w:t>ollowing recommendations were highlighted</w:t>
      </w:r>
      <w:r w:rsidR="006740A5">
        <w:rPr>
          <w:rFonts w:eastAsia="Times New Roman"/>
          <w:color w:val="000000"/>
          <w:lang w:eastAsia="cs-CZ"/>
        </w:rPr>
        <w:t xml:space="preserve">. </w:t>
      </w:r>
      <w:r w:rsidR="000C7BB9">
        <w:rPr>
          <w:rFonts w:eastAsia="Times New Roman"/>
          <w:color w:val="000000"/>
          <w:lang w:eastAsia="cs-CZ"/>
        </w:rPr>
        <w:t>Fi</w:t>
      </w:r>
      <w:r w:rsidR="0000522E">
        <w:rPr>
          <w:rFonts w:eastAsia="Times New Roman"/>
          <w:color w:val="000000"/>
          <w:lang w:eastAsia="cs-CZ"/>
        </w:rPr>
        <w:t xml:space="preserve">rst, </w:t>
      </w:r>
      <w:r w:rsidR="002D4C4A" w:rsidRPr="002D4C4A">
        <w:rPr>
          <w:rFonts w:eastAsia="Times New Roman"/>
          <w:color w:val="000000"/>
          <w:lang w:eastAsia="cs-CZ"/>
        </w:rPr>
        <w:t xml:space="preserve">funding </w:t>
      </w:r>
      <w:r w:rsidR="001A1BD2">
        <w:rPr>
          <w:rFonts w:eastAsia="Times New Roman"/>
          <w:color w:val="000000"/>
          <w:lang w:eastAsia="cs-CZ"/>
        </w:rPr>
        <w:t>for teaching</w:t>
      </w:r>
      <w:r w:rsidR="002D4C4A" w:rsidRPr="002D4C4A">
        <w:rPr>
          <w:rFonts w:eastAsia="Times New Roman"/>
          <w:color w:val="000000"/>
          <w:lang w:eastAsia="cs-CZ"/>
        </w:rPr>
        <w:t xml:space="preserve"> assistant</w:t>
      </w:r>
      <w:r w:rsidR="000C7BB9">
        <w:rPr>
          <w:rFonts w:eastAsia="Times New Roman"/>
          <w:color w:val="000000"/>
          <w:lang w:eastAsia="cs-CZ"/>
        </w:rPr>
        <w:t xml:space="preserve">s and </w:t>
      </w:r>
      <w:r w:rsidR="002D4C4A" w:rsidRPr="002D4C4A">
        <w:rPr>
          <w:rFonts w:eastAsia="Times New Roman"/>
          <w:color w:val="000000"/>
          <w:lang w:eastAsia="cs-CZ"/>
        </w:rPr>
        <w:t>special educator</w:t>
      </w:r>
      <w:r w:rsidR="000C7BB9">
        <w:rPr>
          <w:rFonts w:eastAsia="Times New Roman"/>
          <w:color w:val="000000"/>
          <w:lang w:eastAsia="cs-CZ"/>
        </w:rPr>
        <w:t>s</w:t>
      </w:r>
      <w:r w:rsidR="002D4C4A" w:rsidRPr="002D4C4A">
        <w:rPr>
          <w:rFonts w:eastAsia="Times New Roman"/>
          <w:color w:val="000000"/>
          <w:lang w:eastAsia="cs-CZ"/>
        </w:rPr>
        <w:t xml:space="preserve"> should be standardised and secured from the state budget on regular bas</w:t>
      </w:r>
      <w:r>
        <w:rPr>
          <w:rFonts w:eastAsia="Times New Roman"/>
          <w:color w:val="000000"/>
          <w:lang w:eastAsia="cs-CZ"/>
        </w:rPr>
        <w:t>i</w:t>
      </w:r>
      <w:r w:rsidR="000C7BB9">
        <w:rPr>
          <w:rFonts w:eastAsia="Times New Roman"/>
          <w:color w:val="000000"/>
          <w:lang w:eastAsia="cs-CZ"/>
        </w:rPr>
        <w:t>s.</w:t>
      </w:r>
      <w:r w:rsidR="002D4C4A">
        <w:rPr>
          <w:rFonts w:eastAsia="Times New Roman"/>
          <w:color w:val="000000"/>
          <w:lang w:eastAsia="cs-CZ"/>
        </w:rPr>
        <w:t xml:space="preserve"> </w:t>
      </w:r>
      <w:r w:rsidR="000C7BB9">
        <w:rPr>
          <w:rFonts w:eastAsia="Times New Roman"/>
          <w:color w:val="000000"/>
          <w:lang w:eastAsia="cs-CZ"/>
        </w:rPr>
        <w:t>S</w:t>
      </w:r>
      <w:r w:rsidR="0000522E">
        <w:rPr>
          <w:rFonts w:eastAsia="Times New Roman"/>
          <w:color w:val="000000"/>
          <w:lang w:eastAsia="cs-CZ"/>
        </w:rPr>
        <w:t xml:space="preserve">econd, </w:t>
      </w:r>
      <w:r w:rsidR="002D4C4A">
        <w:rPr>
          <w:rFonts w:eastAsia="Times New Roman"/>
          <w:color w:val="000000"/>
          <w:lang w:eastAsia="cs-CZ"/>
        </w:rPr>
        <w:t>d</w:t>
      </w:r>
      <w:r w:rsidR="002D4C4A" w:rsidRPr="002D4C4A">
        <w:rPr>
          <w:rFonts w:eastAsia="Times New Roman"/>
          <w:color w:val="000000"/>
          <w:lang w:eastAsia="cs-CZ"/>
        </w:rPr>
        <w:t>ue to h</w:t>
      </w:r>
      <w:r w:rsidR="001A1BD2">
        <w:rPr>
          <w:rFonts w:eastAsia="Times New Roman"/>
          <w:color w:val="000000"/>
          <w:lang w:eastAsia="cs-CZ"/>
        </w:rPr>
        <w:t>igh demand on recruiting teaching</w:t>
      </w:r>
      <w:r w:rsidR="002D4C4A" w:rsidRPr="002D4C4A">
        <w:rPr>
          <w:rFonts w:eastAsia="Times New Roman"/>
          <w:color w:val="000000"/>
          <w:lang w:eastAsia="cs-CZ"/>
        </w:rPr>
        <w:t xml:space="preserve"> assistants to schools</w:t>
      </w:r>
      <w:r w:rsidR="000C7BB9">
        <w:rPr>
          <w:rFonts w:eastAsia="Times New Roman"/>
          <w:color w:val="000000"/>
          <w:lang w:eastAsia="cs-CZ"/>
        </w:rPr>
        <w:t>,</w:t>
      </w:r>
      <w:r w:rsidR="002D4C4A" w:rsidRPr="002D4C4A">
        <w:rPr>
          <w:rFonts w:eastAsia="Times New Roman"/>
          <w:color w:val="000000"/>
          <w:lang w:eastAsia="cs-CZ"/>
        </w:rPr>
        <w:t xml:space="preserve"> it is necessary to establish an adequate amount of training courses</w:t>
      </w:r>
      <w:r w:rsidR="0000522E">
        <w:rPr>
          <w:rFonts w:eastAsia="Times New Roman"/>
          <w:color w:val="000000"/>
          <w:lang w:eastAsia="cs-CZ"/>
        </w:rPr>
        <w:t xml:space="preserve"> for </w:t>
      </w:r>
      <w:r w:rsidR="001A1BD2">
        <w:rPr>
          <w:rFonts w:eastAsia="Times New Roman"/>
          <w:color w:val="000000"/>
          <w:lang w:eastAsia="cs-CZ"/>
        </w:rPr>
        <w:t xml:space="preserve">future teaching </w:t>
      </w:r>
      <w:r w:rsidR="0000522E">
        <w:rPr>
          <w:rFonts w:eastAsia="Times New Roman"/>
          <w:color w:val="000000"/>
          <w:lang w:eastAsia="cs-CZ"/>
        </w:rPr>
        <w:t>assistants</w:t>
      </w:r>
      <w:r w:rsidR="000C7BB9">
        <w:rPr>
          <w:rFonts w:eastAsia="Times New Roman"/>
          <w:color w:val="000000"/>
          <w:lang w:eastAsia="cs-CZ"/>
        </w:rPr>
        <w:t>. T</w:t>
      </w:r>
      <w:r w:rsidR="0000522E">
        <w:rPr>
          <w:rFonts w:eastAsia="Times New Roman"/>
          <w:color w:val="000000"/>
          <w:lang w:eastAsia="cs-CZ"/>
        </w:rPr>
        <w:t xml:space="preserve">hird, </w:t>
      </w:r>
      <w:r w:rsidR="002D4C4A" w:rsidRPr="002D4C4A">
        <w:rPr>
          <w:rFonts w:eastAsia="Times New Roman"/>
          <w:color w:val="000000"/>
          <w:lang w:eastAsia="cs-CZ"/>
        </w:rPr>
        <w:t xml:space="preserve">staff capacity </w:t>
      </w:r>
      <w:r>
        <w:rPr>
          <w:rFonts w:eastAsia="Times New Roman"/>
          <w:color w:val="000000"/>
          <w:lang w:eastAsia="cs-CZ"/>
        </w:rPr>
        <w:t>in</w:t>
      </w:r>
      <w:r w:rsidRPr="002D4C4A">
        <w:rPr>
          <w:rFonts w:eastAsia="Times New Roman"/>
          <w:color w:val="000000"/>
          <w:lang w:eastAsia="cs-CZ"/>
        </w:rPr>
        <w:t xml:space="preserve"> </w:t>
      </w:r>
      <w:r w:rsidR="002D4C4A">
        <w:rPr>
          <w:rFonts w:eastAsia="Times New Roman"/>
          <w:color w:val="000000"/>
          <w:lang w:eastAsia="cs-CZ"/>
        </w:rPr>
        <w:t xml:space="preserve">the </w:t>
      </w:r>
      <w:r w:rsidR="002D4C4A" w:rsidRPr="002D4C4A">
        <w:rPr>
          <w:rFonts w:eastAsia="Times New Roman"/>
          <w:color w:val="000000"/>
          <w:lang w:eastAsia="cs-CZ"/>
        </w:rPr>
        <w:t xml:space="preserve">counselling facilities should </w:t>
      </w:r>
      <w:r w:rsidR="002D4C4A">
        <w:rPr>
          <w:rFonts w:eastAsia="Times New Roman"/>
          <w:color w:val="000000"/>
          <w:lang w:eastAsia="cs-CZ"/>
        </w:rPr>
        <w:t>correspond with</w:t>
      </w:r>
      <w:r w:rsidR="0000522E">
        <w:rPr>
          <w:rFonts w:eastAsia="Times New Roman"/>
          <w:color w:val="000000"/>
          <w:lang w:eastAsia="cs-CZ"/>
        </w:rPr>
        <w:t xml:space="preserve"> </w:t>
      </w:r>
      <w:r w:rsidR="00741074">
        <w:rPr>
          <w:rFonts w:eastAsia="Times New Roman"/>
          <w:color w:val="000000"/>
          <w:lang w:eastAsia="cs-CZ"/>
        </w:rPr>
        <w:t xml:space="preserve">the </w:t>
      </w:r>
      <w:r w:rsidR="0000522E">
        <w:rPr>
          <w:rFonts w:eastAsia="Times New Roman"/>
          <w:color w:val="000000"/>
          <w:lang w:eastAsia="cs-CZ"/>
        </w:rPr>
        <w:t>demands and</w:t>
      </w:r>
      <w:r>
        <w:rPr>
          <w:rFonts w:eastAsia="Times New Roman"/>
          <w:color w:val="000000"/>
          <w:lang w:eastAsia="cs-CZ"/>
        </w:rPr>
        <w:t>.</w:t>
      </w:r>
      <w:r w:rsidR="0000522E">
        <w:rPr>
          <w:rFonts w:eastAsia="Times New Roman"/>
          <w:color w:val="000000"/>
          <w:lang w:eastAsia="cs-CZ"/>
        </w:rPr>
        <w:t xml:space="preserve"> finally,</w:t>
      </w:r>
      <w:r w:rsidR="002D4C4A" w:rsidRPr="002D4C4A">
        <w:rPr>
          <w:rFonts w:eastAsia="Times New Roman"/>
          <w:color w:val="000000"/>
          <w:lang w:eastAsia="cs-CZ"/>
        </w:rPr>
        <w:t xml:space="preserve"> </w:t>
      </w:r>
      <w:r>
        <w:rPr>
          <w:rFonts w:eastAsia="Times New Roman"/>
          <w:color w:val="000000"/>
          <w:lang w:eastAsia="cs-CZ"/>
        </w:rPr>
        <w:t xml:space="preserve">the </w:t>
      </w:r>
      <w:r w:rsidR="002D4C4A" w:rsidRPr="002D4C4A">
        <w:rPr>
          <w:rFonts w:eastAsia="Times New Roman"/>
          <w:color w:val="000000"/>
          <w:lang w:eastAsia="cs-CZ"/>
        </w:rPr>
        <w:t>additional administrative burden put on teachers</w:t>
      </w:r>
      <w:r>
        <w:rPr>
          <w:rFonts w:eastAsia="Times New Roman"/>
          <w:color w:val="000000"/>
          <w:lang w:eastAsia="cs-CZ"/>
        </w:rPr>
        <w:t>,</w:t>
      </w:r>
      <w:r w:rsidR="002D4C4A" w:rsidRPr="002D4C4A">
        <w:rPr>
          <w:rFonts w:eastAsia="Times New Roman"/>
          <w:color w:val="000000"/>
          <w:lang w:eastAsia="cs-CZ"/>
        </w:rPr>
        <w:t xml:space="preserve"> related to </w:t>
      </w:r>
      <w:r>
        <w:rPr>
          <w:rFonts w:eastAsia="Times New Roman"/>
          <w:color w:val="000000"/>
          <w:lang w:eastAsia="cs-CZ"/>
        </w:rPr>
        <w:t xml:space="preserve">the </w:t>
      </w:r>
      <w:r w:rsidR="002D4C4A" w:rsidRPr="002D4C4A">
        <w:rPr>
          <w:rFonts w:eastAsia="Times New Roman"/>
          <w:color w:val="000000"/>
          <w:lang w:eastAsia="cs-CZ"/>
        </w:rPr>
        <w:t>support measures application processes</w:t>
      </w:r>
      <w:r>
        <w:rPr>
          <w:rFonts w:eastAsia="Times New Roman"/>
          <w:color w:val="000000"/>
          <w:lang w:eastAsia="cs-CZ"/>
        </w:rPr>
        <w:t>,</w:t>
      </w:r>
      <w:r w:rsidR="002D4C4A" w:rsidRPr="002D4C4A">
        <w:rPr>
          <w:rFonts w:eastAsia="Times New Roman"/>
          <w:color w:val="000000"/>
          <w:lang w:eastAsia="cs-CZ"/>
        </w:rPr>
        <w:t xml:space="preserve"> should be minimised. </w:t>
      </w:r>
      <w:r>
        <w:rPr>
          <w:rFonts w:eastAsia="Times New Roman"/>
          <w:color w:val="000000"/>
          <w:lang w:eastAsia="cs-CZ"/>
        </w:rPr>
        <w:t>It is relevant to note that these views represent the priorities of school leaders and teachers rather than the perspective of disabled children or their parents, which might differ.</w:t>
      </w:r>
    </w:p>
    <w:p w14:paraId="39D03C94" w14:textId="77777777" w:rsidR="0002363B" w:rsidRDefault="0002363B" w:rsidP="006740A5">
      <w:pPr>
        <w:autoSpaceDE w:val="0"/>
        <w:autoSpaceDN w:val="0"/>
        <w:adjustRightInd w:val="0"/>
        <w:jc w:val="both"/>
        <w:rPr>
          <w:rFonts w:ascii="Tahoma" w:hAnsi="Tahoma" w:cs="Tahoma"/>
          <w:bCs/>
          <w:iCs/>
          <w:sz w:val="22"/>
          <w:szCs w:val="22"/>
        </w:rPr>
      </w:pPr>
    </w:p>
    <w:p w14:paraId="1255514B" w14:textId="69AF9D1D" w:rsidR="000C41FF" w:rsidRPr="00B25DFD" w:rsidRDefault="000C41FF" w:rsidP="006740A5">
      <w:pPr>
        <w:autoSpaceDE w:val="0"/>
        <w:autoSpaceDN w:val="0"/>
        <w:adjustRightInd w:val="0"/>
        <w:jc w:val="both"/>
        <w:rPr>
          <w:b/>
          <w:bCs/>
          <w:iCs/>
          <w:szCs w:val="22"/>
        </w:rPr>
      </w:pPr>
      <w:r w:rsidRPr="00B25DFD">
        <w:rPr>
          <w:b/>
          <w:bCs/>
          <w:iCs/>
          <w:szCs w:val="22"/>
        </w:rPr>
        <w:t>Tertiary educational support</w:t>
      </w:r>
    </w:p>
    <w:p w14:paraId="76CC97B2" w14:textId="471AAC5C" w:rsidR="001373F9" w:rsidRPr="00D34A88" w:rsidRDefault="001373F9" w:rsidP="006740A5">
      <w:pPr>
        <w:autoSpaceDE w:val="0"/>
        <w:autoSpaceDN w:val="0"/>
        <w:adjustRightInd w:val="0"/>
        <w:jc w:val="both"/>
        <w:rPr>
          <w:bCs/>
          <w:iCs/>
          <w:szCs w:val="22"/>
        </w:rPr>
      </w:pPr>
      <w:r w:rsidRPr="00D34A88">
        <w:rPr>
          <w:bCs/>
          <w:iCs/>
          <w:szCs w:val="22"/>
        </w:rPr>
        <w:t>In o</w:t>
      </w:r>
      <w:r w:rsidR="00D34A88">
        <w:rPr>
          <w:bCs/>
          <w:iCs/>
          <w:szCs w:val="22"/>
        </w:rPr>
        <w:t xml:space="preserve">rder to facilitate access of </w:t>
      </w:r>
      <w:r w:rsidRPr="00D34A88">
        <w:rPr>
          <w:bCs/>
          <w:iCs/>
          <w:szCs w:val="22"/>
        </w:rPr>
        <w:t>s</w:t>
      </w:r>
      <w:r w:rsidR="00D34A88">
        <w:rPr>
          <w:bCs/>
          <w:iCs/>
          <w:szCs w:val="22"/>
        </w:rPr>
        <w:t>tudents with disabilities to</w:t>
      </w:r>
      <w:r w:rsidRPr="00D34A88">
        <w:rPr>
          <w:bCs/>
          <w:iCs/>
          <w:szCs w:val="22"/>
        </w:rPr>
        <w:t xml:space="preserve"> tertiary education, the Higher Education Act was amended</w:t>
      </w:r>
      <w:r w:rsidR="00C71A88">
        <w:rPr>
          <w:bCs/>
          <w:iCs/>
          <w:szCs w:val="22"/>
        </w:rPr>
        <w:t xml:space="preserve"> accompanied by the Edict</w:t>
      </w:r>
      <w:r w:rsidRPr="00D34A88">
        <w:rPr>
          <w:bCs/>
          <w:iCs/>
          <w:szCs w:val="22"/>
        </w:rPr>
        <w:t xml:space="preserve"> on Standards for Accreditatio</w:t>
      </w:r>
      <w:r w:rsidR="00086DAC">
        <w:rPr>
          <w:bCs/>
          <w:iCs/>
          <w:szCs w:val="22"/>
        </w:rPr>
        <w:t>n in Higher Education</w:t>
      </w:r>
      <w:r w:rsidR="00C71A88">
        <w:rPr>
          <w:bCs/>
          <w:iCs/>
          <w:szCs w:val="22"/>
        </w:rPr>
        <w:t>. The Edict stipulates that universities</w:t>
      </w:r>
      <w:r w:rsidRPr="00D34A88">
        <w:rPr>
          <w:bCs/>
          <w:iCs/>
          <w:szCs w:val="22"/>
        </w:rPr>
        <w:t xml:space="preserve"> must </w:t>
      </w:r>
      <w:r w:rsidR="00C71A88" w:rsidRPr="00D34A88">
        <w:rPr>
          <w:bCs/>
          <w:iCs/>
          <w:szCs w:val="22"/>
        </w:rPr>
        <w:lastRenderedPageBreak/>
        <w:t>guarantee</w:t>
      </w:r>
      <w:r w:rsidRPr="00D34A88">
        <w:rPr>
          <w:bCs/>
          <w:iCs/>
          <w:szCs w:val="22"/>
        </w:rPr>
        <w:t xml:space="preserve"> equal access to s</w:t>
      </w:r>
      <w:r w:rsidR="00C71A88">
        <w:rPr>
          <w:bCs/>
          <w:iCs/>
          <w:szCs w:val="22"/>
        </w:rPr>
        <w:t>tudy to all applicants</w:t>
      </w:r>
      <w:r w:rsidRPr="00D34A88">
        <w:rPr>
          <w:bCs/>
          <w:iCs/>
          <w:szCs w:val="22"/>
        </w:rPr>
        <w:t>.</w:t>
      </w:r>
      <w:r w:rsidR="00C71A88">
        <w:rPr>
          <w:bCs/>
          <w:iCs/>
          <w:szCs w:val="22"/>
        </w:rPr>
        <w:t xml:space="preserve"> </w:t>
      </w:r>
      <w:r w:rsidR="000C41FF">
        <w:rPr>
          <w:bCs/>
          <w:iCs/>
          <w:szCs w:val="22"/>
        </w:rPr>
        <w:t xml:space="preserve">However, there is specific </w:t>
      </w:r>
      <w:r w:rsidR="00911791">
        <w:rPr>
          <w:bCs/>
          <w:iCs/>
          <w:szCs w:val="22"/>
        </w:rPr>
        <w:t xml:space="preserve">financial </w:t>
      </w:r>
      <w:r w:rsidR="000C41FF">
        <w:rPr>
          <w:bCs/>
          <w:iCs/>
          <w:szCs w:val="22"/>
        </w:rPr>
        <w:t xml:space="preserve">provision </w:t>
      </w:r>
      <w:r w:rsidR="00911791">
        <w:rPr>
          <w:bCs/>
          <w:iCs/>
          <w:szCs w:val="22"/>
        </w:rPr>
        <w:t xml:space="preserve">at Ministry of Education, Youth and Sports </w:t>
      </w:r>
      <w:r w:rsidR="000C41FF">
        <w:rPr>
          <w:bCs/>
          <w:iCs/>
          <w:szCs w:val="22"/>
        </w:rPr>
        <w:t xml:space="preserve">for </w:t>
      </w:r>
      <w:r w:rsidR="000C41FF" w:rsidRPr="000C41FF">
        <w:rPr>
          <w:bCs/>
          <w:iCs/>
          <w:szCs w:val="22"/>
        </w:rPr>
        <w:t xml:space="preserve">support </w:t>
      </w:r>
      <w:r w:rsidR="000C41FF">
        <w:rPr>
          <w:bCs/>
          <w:iCs/>
          <w:szCs w:val="22"/>
        </w:rPr>
        <w:t>to</w:t>
      </w:r>
      <w:r w:rsidR="000C41FF" w:rsidRPr="000C41FF">
        <w:rPr>
          <w:bCs/>
          <w:iCs/>
          <w:szCs w:val="22"/>
        </w:rPr>
        <w:t xml:space="preserve"> students with disabilities in higher education.</w:t>
      </w:r>
      <w:r w:rsidR="000C41FF">
        <w:rPr>
          <w:bCs/>
          <w:iCs/>
          <w:szCs w:val="22"/>
        </w:rPr>
        <w:t xml:space="preserve"> </w:t>
      </w:r>
      <w:r w:rsidR="00CA7F98" w:rsidRPr="00B25DFD">
        <w:rPr>
          <w:bCs/>
          <w:iCs/>
          <w:szCs w:val="22"/>
        </w:rPr>
        <w:t xml:space="preserve">It is clear from </w:t>
      </w:r>
      <w:r w:rsidR="00225A6D" w:rsidRPr="00B25DFD">
        <w:rPr>
          <w:bCs/>
          <w:iCs/>
          <w:szCs w:val="22"/>
        </w:rPr>
        <w:t xml:space="preserve">the </w:t>
      </w:r>
      <w:r w:rsidR="00CA7F98" w:rsidRPr="00B25DFD">
        <w:rPr>
          <w:bCs/>
          <w:iCs/>
          <w:szCs w:val="22"/>
        </w:rPr>
        <w:t xml:space="preserve">2010 study, </w:t>
      </w:r>
      <w:r w:rsidR="00A84C88" w:rsidRPr="00225A6D">
        <w:rPr>
          <w:bCs/>
          <w:iCs/>
          <w:szCs w:val="22"/>
        </w:rPr>
        <w:t xml:space="preserve">that </w:t>
      </w:r>
      <w:r w:rsidR="00290F83" w:rsidRPr="00225A6D">
        <w:rPr>
          <w:bCs/>
          <w:iCs/>
          <w:szCs w:val="22"/>
        </w:rPr>
        <w:t xml:space="preserve">attitudes of those who deal with the issue of </w:t>
      </w:r>
      <w:r w:rsidR="00A84C88" w:rsidRPr="00225A6D">
        <w:rPr>
          <w:bCs/>
          <w:iCs/>
          <w:szCs w:val="22"/>
        </w:rPr>
        <w:t xml:space="preserve">supporting students with disabilities </w:t>
      </w:r>
      <w:r w:rsidR="00290F83" w:rsidRPr="00225A6D">
        <w:rPr>
          <w:bCs/>
          <w:iCs/>
          <w:szCs w:val="22"/>
        </w:rPr>
        <w:t xml:space="preserve">are not uniform. The expert opinions differ in both </w:t>
      </w:r>
      <w:r w:rsidR="00CA7F98" w:rsidRPr="00B25DFD">
        <w:rPr>
          <w:bCs/>
          <w:iCs/>
          <w:szCs w:val="22"/>
        </w:rPr>
        <w:t>–</w:t>
      </w:r>
      <w:r w:rsidR="00A84C88" w:rsidRPr="00225A6D">
        <w:rPr>
          <w:bCs/>
          <w:iCs/>
          <w:szCs w:val="22"/>
        </w:rPr>
        <w:t xml:space="preserve"> </w:t>
      </w:r>
      <w:r w:rsidR="00CA7F98" w:rsidRPr="00B25DFD">
        <w:rPr>
          <w:bCs/>
          <w:iCs/>
          <w:szCs w:val="22"/>
        </w:rPr>
        <w:t xml:space="preserve">in </w:t>
      </w:r>
      <w:r w:rsidR="00290F83" w:rsidRPr="00225A6D">
        <w:rPr>
          <w:bCs/>
          <w:iCs/>
          <w:szCs w:val="22"/>
        </w:rPr>
        <w:t>the opinions on the provisi</w:t>
      </w:r>
      <w:r w:rsidR="00A84C88" w:rsidRPr="00225A6D">
        <w:rPr>
          <w:bCs/>
          <w:iCs/>
          <w:szCs w:val="22"/>
        </w:rPr>
        <w:t>on of services and their scope and the opinions on financial</w:t>
      </w:r>
      <w:r w:rsidR="00290F83" w:rsidRPr="00225A6D">
        <w:rPr>
          <w:bCs/>
          <w:iCs/>
          <w:szCs w:val="22"/>
        </w:rPr>
        <w:t xml:space="preserve"> solution of the given issue through legal or other adjustment.</w:t>
      </w:r>
      <w:r w:rsidR="00952BA4">
        <w:rPr>
          <w:bCs/>
          <w:iCs/>
          <w:szCs w:val="22"/>
        </w:rPr>
        <w:t xml:space="preserve"> </w:t>
      </w:r>
      <w:r w:rsidR="00C71A88" w:rsidRPr="00225A6D">
        <w:rPr>
          <w:bCs/>
          <w:iCs/>
          <w:szCs w:val="22"/>
        </w:rPr>
        <w:t xml:space="preserve">It would be important to </w:t>
      </w:r>
      <w:r w:rsidR="00CA7F98" w:rsidRPr="00B25DFD">
        <w:rPr>
          <w:bCs/>
          <w:iCs/>
          <w:szCs w:val="22"/>
        </w:rPr>
        <w:t>provide finances from the state to universities systematically same as to analyse</w:t>
      </w:r>
      <w:r w:rsidR="00CA7F98" w:rsidRPr="00225A6D">
        <w:rPr>
          <w:bCs/>
          <w:iCs/>
          <w:szCs w:val="22"/>
        </w:rPr>
        <w:t xml:space="preserve"> </w:t>
      </w:r>
      <w:r w:rsidR="00C71A88" w:rsidRPr="00225A6D">
        <w:rPr>
          <w:bCs/>
          <w:iCs/>
          <w:szCs w:val="22"/>
        </w:rPr>
        <w:t>barriers and facilitators of tertiary education in relation to students with disabilities.</w:t>
      </w:r>
      <w:r w:rsidR="00C71A88">
        <w:rPr>
          <w:bCs/>
          <w:iCs/>
          <w:szCs w:val="22"/>
        </w:rPr>
        <w:t xml:space="preserve"> </w:t>
      </w:r>
    </w:p>
    <w:p w14:paraId="04A580CC" w14:textId="5F1B5FBB" w:rsidR="0002363B" w:rsidRDefault="0002363B" w:rsidP="00B25DFD">
      <w:pPr>
        <w:autoSpaceDE w:val="0"/>
        <w:autoSpaceDN w:val="0"/>
        <w:adjustRightInd w:val="0"/>
        <w:rPr>
          <w:rFonts w:ascii="Tahoma" w:hAnsi="Tahoma" w:cs="Tahoma"/>
          <w:bCs/>
          <w:iCs/>
          <w:sz w:val="22"/>
          <w:szCs w:val="22"/>
        </w:rPr>
      </w:pPr>
    </w:p>
    <w:p w14:paraId="69886021" w14:textId="6D62039B" w:rsidR="00172D74" w:rsidRPr="006740A5" w:rsidRDefault="00DE4BC5" w:rsidP="006740A5">
      <w:pPr>
        <w:pStyle w:val="Heading1"/>
        <w:jc w:val="both"/>
        <w:rPr>
          <w:szCs w:val="24"/>
        </w:rPr>
      </w:pPr>
      <w:bookmarkStart w:id="11" w:name="_Toc528662150"/>
      <w:r w:rsidRPr="006740A5">
        <w:rPr>
          <w:szCs w:val="24"/>
        </w:rPr>
        <w:lastRenderedPageBreak/>
        <w:t xml:space="preserve">Disability, </w:t>
      </w:r>
      <w:r w:rsidR="00172D74" w:rsidRPr="006740A5">
        <w:rPr>
          <w:szCs w:val="24"/>
        </w:rPr>
        <w:t xml:space="preserve">poverty </w:t>
      </w:r>
      <w:r w:rsidRPr="006740A5">
        <w:rPr>
          <w:szCs w:val="24"/>
        </w:rPr>
        <w:t>and</w:t>
      </w:r>
      <w:r w:rsidR="00172D74" w:rsidRPr="006740A5">
        <w:rPr>
          <w:szCs w:val="24"/>
        </w:rPr>
        <w:t xml:space="preserve"> social exclusion </w:t>
      </w:r>
      <w:r w:rsidRPr="006740A5">
        <w:rPr>
          <w:szCs w:val="24"/>
        </w:rPr>
        <w:t>– analysis of the situation and the</w:t>
      </w:r>
      <w:r w:rsidR="00172D74" w:rsidRPr="006740A5">
        <w:rPr>
          <w:szCs w:val="24"/>
        </w:rPr>
        <w:t xml:space="preserve"> effectiveness of policies</w:t>
      </w:r>
      <w:bookmarkEnd w:id="11"/>
    </w:p>
    <w:p w14:paraId="4D00A41D" w14:textId="68042784" w:rsidR="001F6793" w:rsidRPr="006740A5" w:rsidRDefault="001F6793" w:rsidP="006740A5">
      <w:pPr>
        <w:jc w:val="both"/>
      </w:pPr>
    </w:p>
    <w:p w14:paraId="364D3DFE" w14:textId="11D9DEA9" w:rsidR="002E26F3" w:rsidRPr="006740A5" w:rsidRDefault="00AE318F" w:rsidP="006740A5">
      <w:pPr>
        <w:jc w:val="both"/>
        <w:rPr>
          <w:rFonts w:eastAsia="Times New Roman"/>
          <w:color w:val="000000"/>
          <w:lang w:eastAsia="cs-CZ"/>
        </w:rPr>
      </w:pPr>
      <w:r w:rsidRPr="006740A5">
        <w:rPr>
          <w:rFonts w:eastAsia="Times New Roman"/>
          <w:color w:val="000000"/>
          <w:lang w:eastAsia="cs-CZ"/>
        </w:rPr>
        <w:t xml:space="preserve">The Czech Republic </w:t>
      </w:r>
      <w:r w:rsidR="00473BED" w:rsidRPr="006740A5">
        <w:rPr>
          <w:rFonts w:eastAsia="Times New Roman"/>
          <w:color w:val="000000"/>
          <w:lang w:eastAsia="cs-CZ"/>
        </w:rPr>
        <w:t>belongs in longer term to</w:t>
      </w:r>
      <w:r w:rsidRPr="006740A5">
        <w:rPr>
          <w:rFonts w:eastAsia="Times New Roman"/>
          <w:color w:val="000000"/>
          <w:lang w:eastAsia="cs-CZ"/>
        </w:rPr>
        <w:t xml:space="preserve"> European countries with the lowest </w:t>
      </w:r>
      <w:r w:rsidR="00473BED" w:rsidRPr="006740A5">
        <w:rPr>
          <w:rFonts w:eastAsia="Times New Roman"/>
          <w:color w:val="000000"/>
          <w:lang w:eastAsia="cs-CZ"/>
        </w:rPr>
        <w:t>share</w:t>
      </w:r>
      <w:r w:rsidRPr="006740A5">
        <w:rPr>
          <w:rFonts w:eastAsia="Times New Roman"/>
          <w:color w:val="000000"/>
          <w:lang w:eastAsia="cs-CZ"/>
        </w:rPr>
        <w:t xml:space="preserve"> of people at risk of poverty or </w:t>
      </w:r>
      <w:r w:rsidR="002E796E" w:rsidRPr="006740A5">
        <w:rPr>
          <w:rFonts w:eastAsia="Times New Roman"/>
          <w:color w:val="000000"/>
          <w:lang w:eastAsia="cs-CZ"/>
        </w:rPr>
        <w:t>social exclusion</w:t>
      </w:r>
      <w:r w:rsidRPr="006740A5">
        <w:rPr>
          <w:rFonts w:eastAsia="Times New Roman"/>
          <w:color w:val="000000"/>
          <w:lang w:eastAsia="cs-CZ"/>
        </w:rPr>
        <w:t xml:space="preserve">. </w:t>
      </w:r>
      <w:r w:rsidR="008023DA" w:rsidRPr="006740A5">
        <w:rPr>
          <w:rFonts w:eastAsia="Times New Roman"/>
          <w:color w:val="000000"/>
          <w:lang w:eastAsia="cs-CZ"/>
        </w:rPr>
        <w:t xml:space="preserve">This applies also to disabled persons, for whom the average risks are also below the EU average on all the main indicators (see </w:t>
      </w:r>
      <w:r w:rsidR="008023DA" w:rsidRPr="006740A5">
        <w:rPr>
          <w:rFonts w:eastAsia="Times New Roman"/>
          <w:color w:val="000000"/>
          <w:lang w:eastAsia="cs-CZ"/>
        </w:rPr>
        <w:fldChar w:fldCharType="begin"/>
      </w:r>
      <w:r w:rsidR="008023DA" w:rsidRPr="006740A5">
        <w:rPr>
          <w:rFonts w:eastAsia="Times New Roman"/>
          <w:color w:val="000000"/>
          <w:lang w:eastAsia="cs-CZ"/>
        </w:rPr>
        <w:instrText xml:space="preserve"> REF _Ref526752628 \h </w:instrText>
      </w:r>
      <w:r w:rsidR="00875F7E" w:rsidRPr="006740A5">
        <w:rPr>
          <w:rFonts w:eastAsia="Times New Roman"/>
          <w:color w:val="000000"/>
          <w:lang w:eastAsia="cs-CZ"/>
        </w:rPr>
        <w:instrText xml:space="preserve"> \* MERGEFORMAT </w:instrText>
      </w:r>
      <w:r w:rsidR="008023DA" w:rsidRPr="006740A5">
        <w:rPr>
          <w:rFonts w:eastAsia="Times New Roman"/>
          <w:color w:val="000000"/>
          <w:lang w:eastAsia="cs-CZ"/>
        </w:rPr>
      </w:r>
      <w:r w:rsidR="008023DA" w:rsidRPr="006740A5">
        <w:rPr>
          <w:rFonts w:eastAsia="Times New Roman"/>
          <w:color w:val="000000"/>
          <w:lang w:eastAsia="cs-CZ"/>
        </w:rPr>
        <w:fldChar w:fldCharType="separate"/>
      </w:r>
      <w:r w:rsidR="00B25DFD" w:rsidRPr="006740A5">
        <w:t xml:space="preserve">Table </w:t>
      </w:r>
      <w:r w:rsidR="00B25DFD" w:rsidRPr="006740A5">
        <w:rPr>
          <w:noProof/>
        </w:rPr>
        <w:t>15</w:t>
      </w:r>
      <w:r w:rsidR="008023DA" w:rsidRPr="006740A5">
        <w:rPr>
          <w:rFonts w:eastAsia="Times New Roman"/>
          <w:color w:val="000000"/>
          <w:lang w:eastAsia="cs-CZ"/>
        </w:rPr>
        <w:fldChar w:fldCharType="end"/>
      </w:r>
      <w:r w:rsidR="008023DA" w:rsidRPr="006740A5">
        <w:rPr>
          <w:rFonts w:eastAsia="Times New Roman"/>
          <w:color w:val="000000"/>
          <w:lang w:eastAsia="cs-CZ"/>
        </w:rPr>
        <w:t xml:space="preserve">, </w:t>
      </w:r>
      <w:r w:rsidR="008023DA" w:rsidRPr="006740A5">
        <w:rPr>
          <w:rFonts w:eastAsia="Times New Roman"/>
          <w:color w:val="000000"/>
          <w:lang w:eastAsia="cs-CZ"/>
        </w:rPr>
        <w:fldChar w:fldCharType="begin"/>
      </w:r>
      <w:r w:rsidR="008023DA" w:rsidRPr="006740A5">
        <w:rPr>
          <w:rFonts w:eastAsia="Times New Roman"/>
          <w:color w:val="000000"/>
          <w:lang w:eastAsia="cs-CZ"/>
        </w:rPr>
        <w:instrText xml:space="preserve"> REF _Ref526752634 \h </w:instrText>
      </w:r>
      <w:r w:rsidR="00875F7E" w:rsidRPr="006740A5">
        <w:rPr>
          <w:rFonts w:eastAsia="Times New Roman"/>
          <w:color w:val="000000"/>
          <w:lang w:eastAsia="cs-CZ"/>
        </w:rPr>
        <w:instrText xml:space="preserve"> \* MERGEFORMAT </w:instrText>
      </w:r>
      <w:r w:rsidR="008023DA" w:rsidRPr="006740A5">
        <w:rPr>
          <w:rFonts w:eastAsia="Times New Roman"/>
          <w:color w:val="000000"/>
          <w:lang w:eastAsia="cs-CZ"/>
        </w:rPr>
      </w:r>
      <w:r w:rsidR="008023DA" w:rsidRPr="006740A5">
        <w:rPr>
          <w:rFonts w:eastAsia="Times New Roman"/>
          <w:color w:val="000000"/>
          <w:lang w:eastAsia="cs-CZ"/>
        </w:rPr>
        <w:fldChar w:fldCharType="separate"/>
      </w:r>
      <w:r w:rsidR="00B25DFD" w:rsidRPr="006740A5">
        <w:t xml:space="preserve">Table </w:t>
      </w:r>
      <w:r w:rsidR="00B25DFD" w:rsidRPr="006740A5">
        <w:rPr>
          <w:noProof/>
        </w:rPr>
        <w:t>16</w:t>
      </w:r>
      <w:r w:rsidR="008023DA" w:rsidRPr="006740A5">
        <w:rPr>
          <w:rFonts w:eastAsia="Times New Roman"/>
          <w:color w:val="000000"/>
          <w:lang w:eastAsia="cs-CZ"/>
        </w:rPr>
        <w:fldChar w:fldCharType="end"/>
      </w:r>
      <w:r w:rsidR="008023DA" w:rsidRPr="006740A5">
        <w:rPr>
          <w:rFonts w:eastAsia="Times New Roman"/>
          <w:color w:val="000000"/>
          <w:lang w:eastAsia="cs-CZ"/>
        </w:rPr>
        <w:t xml:space="preserve">, </w:t>
      </w:r>
      <w:r w:rsidR="008023DA" w:rsidRPr="006740A5">
        <w:rPr>
          <w:rFonts w:eastAsia="Times New Roman"/>
          <w:color w:val="000000"/>
          <w:lang w:eastAsia="cs-CZ"/>
        </w:rPr>
        <w:fldChar w:fldCharType="begin"/>
      </w:r>
      <w:r w:rsidR="008023DA" w:rsidRPr="006740A5">
        <w:rPr>
          <w:rFonts w:eastAsia="Times New Roman"/>
          <w:color w:val="000000"/>
          <w:lang w:eastAsia="cs-CZ"/>
        </w:rPr>
        <w:instrText xml:space="preserve"> REF _Ref526752644 \h </w:instrText>
      </w:r>
      <w:r w:rsidR="00875F7E" w:rsidRPr="006740A5">
        <w:rPr>
          <w:rFonts w:eastAsia="Times New Roman"/>
          <w:color w:val="000000"/>
          <w:lang w:eastAsia="cs-CZ"/>
        </w:rPr>
        <w:instrText xml:space="preserve"> \* MERGEFORMAT </w:instrText>
      </w:r>
      <w:r w:rsidR="008023DA" w:rsidRPr="006740A5">
        <w:rPr>
          <w:rFonts w:eastAsia="Times New Roman"/>
          <w:color w:val="000000"/>
          <w:lang w:eastAsia="cs-CZ"/>
        </w:rPr>
      </w:r>
      <w:r w:rsidR="008023DA" w:rsidRPr="006740A5">
        <w:rPr>
          <w:rFonts w:eastAsia="Times New Roman"/>
          <w:color w:val="000000"/>
          <w:lang w:eastAsia="cs-CZ"/>
        </w:rPr>
        <w:fldChar w:fldCharType="separate"/>
      </w:r>
      <w:r w:rsidR="00B25DFD" w:rsidRPr="006740A5">
        <w:t xml:space="preserve">Table </w:t>
      </w:r>
      <w:r w:rsidR="00B25DFD" w:rsidRPr="006740A5">
        <w:rPr>
          <w:noProof/>
        </w:rPr>
        <w:t>17</w:t>
      </w:r>
      <w:r w:rsidR="008023DA" w:rsidRPr="006740A5">
        <w:rPr>
          <w:rFonts w:eastAsia="Times New Roman"/>
          <w:color w:val="000000"/>
          <w:lang w:eastAsia="cs-CZ"/>
        </w:rPr>
        <w:fldChar w:fldCharType="end"/>
      </w:r>
      <w:r w:rsidR="008023DA" w:rsidRPr="006740A5">
        <w:rPr>
          <w:rFonts w:eastAsia="Times New Roman"/>
          <w:color w:val="000000"/>
          <w:lang w:eastAsia="cs-CZ"/>
        </w:rPr>
        <w:t>). Nevertheless, t</w:t>
      </w:r>
      <w:r w:rsidR="002E796E" w:rsidRPr="006740A5">
        <w:rPr>
          <w:rFonts w:eastAsia="MS Mincho"/>
          <w:noProof/>
          <w:lang w:val="en-US"/>
        </w:rPr>
        <w:t xml:space="preserve">he EU </w:t>
      </w:r>
      <w:r w:rsidR="008023DA" w:rsidRPr="006740A5">
        <w:rPr>
          <w:rFonts w:eastAsia="MS Mincho"/>
          <w:noProof/>
          <w:lang w:val="en-US"/>
        </w:rPr>
        <w:t xml:space="preserve">Joint </w:t>
      </w:r>
      <w:r w:rsidR="002E796E" w:rsidRPr="006740A5">
        <w:rPr>
          <w:rFonts w:eastAsia="MS Mincho"/>
          <w:noProof/>
          <w:lang w:val="en-US"/>
        </w:rPr>
        <w:t xml:space="preserve">Report on Emloyment refers to </w:t>
      </w:r>
      <w:r w:rsidR="008023DA" w:rsidRPr="006740A5">
        <w:rPr>
          <w:rFonts w:eastAsia="MS Mincho"/>
          <w:noProof/>
          <w:lang w:val="en-US"/>
        </w:rPr>
        <w:t xml:space="preserve">a </w:t>
      </w:r>
      <w:r w:rsidR="001A5067" w:rsidRPr="006740A5">
        <w:rPr>
          <w:rFonts w:eastAsia="MS Mincho"/>
          <w:noProof/>
          <w:lang w:val="en-US"/>
        </w:rPr>
        <w:t xml:space="preserve">critical situation in terms of income inequality </w:t>
      </w:r>
      <w:r w:rsidR="008023DA" w:rsidRPr="006740A5">
        <w:rPr>
          <w:rFonts w:eastAsia="MS Mincho"/>
          <w:noProof/>
          <w:lang w:val="en-US"/>
        </w:rPr>
        <w:t xml:space="preserve">in the Czech Republic, </w:t>
      </w:r>
      <w:r w:rsidR="001A5067" w:rsidRPr="006740A5">
        <w:rPr>
          <w:rFonts w:eastAsia="MS Mincho"/>
          <w:noProof/>
          <w:lang w:val="en-US"/>
        </w:rPr>
        <w:t xml:space="preserve">compared to </w:t>
      </w:r>
      <w:r w:rsidR="008023DA" w:rsidRPr="006740A5">
        <w:rPr>
          <w:rFonts w:eastAsia="MS Mincho"/>
          <w:noProof/>
          <w:lang w:val="en-US"/>
        </w:rPr>
        <w:t>best</w:t>
      </w:r>
      <w:r w:rsidR="001A5067" w:rsidRPr="006740A5">
        <w:rPr>
          <w:rFonts w:eastAsia="MS Mincho"/>
          <w:noProof/>
          <w:lang w:val="en-US"/>
        </w:rPr>
        <w:t xml:space="preserve"> performance</w:t>
      </w:r>
      <w:r w:rsidR="008023DA" w:rsidRPr="006740A5">
        <w:rPr>
          <w:rFonts w:eastAsia="MS Mincho"/>
          <w:noProof/>
          <w:lang w:val="en-US"/>
        </w:rPr>
        <w:t xml:space="preserve"> on employment</w:t>
      </w:r>
      <w:r w:rsidR="001A5067" w:rsidRPr="006740A5">
        <w:rPr>
          <w:rFonts w:eastAsia="MS Mincho"/>
          <w:noProof/>
          <w:lang w:val="en-US"/>
        </w:rPr>
        <w:t>.</w:t>
      </w:r>
      <w:r w:rsidR="001A5067" w:rsidRPr="006740A5">
        <w:rPr>
          <w:rStyle w:val="FootnoteReference"/>
          <w:rFonts w:eastAsia="MS Mincho"/>
          <w:noProof/>
          <w:lang w:val="en-US"/>
        </w:rPr>
        <w:footnoteReference w:id="25"/>
      </w:r>
      <w:r w:rsidR="001A5067" w:rsidRPr="006740A5">
        <w:rPr>
          <w:rFonts w:eastAsia="MS Mincho"/>
          <w:noProof/>
          <w:lang w:val="en-US"/>
        </w:rPr>
        <w:t xml:space="preserve"> </w:t>
      </w:r>
      <w:r w:rsidR="008023DA" w:rsidRPr="006740A5">
        <w:rPr>
          <w:rFonts w:eastAsia="Times New Roman"/>
          <w:color w:val="000000"/>
          <w:lang w:val="en-US" w:eastAsia="cs-CZ"/>
        </w:rPr>
        <w:t xml:space="preserve">It is important to note that </w:t>
      </w:r>
      <w:r w:rsidR="00473BED" w:rsidRPr="006740A5">
        <w:rPr>
          <w:rFonts w:eastAsia="Times New Roman"/>
          <w:color w:val="000000"/>
          <w:lang w:eastAsia="cs-CZ"/>
        </w:rPr>
        <w:t xml:space="preserve">there </w:t>
      </w:r>
      <w:r w:rsidR="008023DA" w:rsidRPr="006740A5">
        <w:rPr>
          <w:rFonts w:eastAsia="Times New Roman"/>
          <w:color w:val="000000"/>
          <w:lang w:eastAsia="cs-CZ"/>
        </w:rPr>
        <w:t xml:space="preserve">was </w:t>
      </w:r>
      <w:r w:rsidR="00473BED" w:rsidRPr="006740A5">
        <w:rPr>
          <w:rFonts w:eastAsia="Times New Roman"/>
          <w:color w:val="000000"/>
          <w:lang w:eastAsia="cs-CZ"/>
        </w:rPr>
        <w:t xml:space="preserve">an </w:t>
      </w:r>
      <w:r w:rsidR="008023DA" w:rsidRPr="006740A5">
        <w:rPr>
          <w:rFonts w:eastAsia="Times New Roman"/>
          <w:color w:val="000000"/>
          <w:lang w:eastAsia="cs-CZ"/>
        </w:rPr>
        <w:t xml:space="preserve">upward </w:t>
      </w:r>
      <w:r w:rsidRPr="006740A5">
        <w:rPr>
          <w:rFonts w:eastAsia="Times New Roman"/>
          <w:color w:val="000000"/>
          <w:lang w:eastAsia="cs-CZ"/>
        </w:rPr>
        <w:t xml:space="preserve">trend </w:t>
      </w:r>
      <w:r w:rsidR="008023DA" w:rsidRPr="006740A5">
        <w:rPr>
          <w:rFonts w:eastAsia="Times New Roman"/>
          <w:color w:val="000000"/>
          <w:lang w:eastAsia="cs-CZ"/>
        </w:rPr>
        <w:t xml:space="preserve">in the risk </w:t>
      </w:r>
      <w:r w:rsidRPr="006740A5">
        <w:rPr>
          <w:rFonts w:eastAsia="Times New Roman"/>
          <w:color w:val="000000"/>
          <w:lang w:eastAsia="cs-CZ"/>
        </w:rPr>
        <w:t>of household poverty and social</w:t>
      </w:r>
      <w:r w:rsidR="00473BED" w:rsidRPr="006740A5">
        <w:rPr>
          <w:rFonts w:eastAsia="Times New Roman"/>
          <w:color w:val="000000"/>
          <w:lang w:eastAsia="cs-CZ"/>
        </w:rPr>
        <w:t xml:space="preserve"> exclusion for disabled persons</w:t>
      </w:r>
      <w:r w:rsidR="008023DA" w:rsidRPr="006740A5">
        <w:rPr>
          <w:rFonts w:eastAsia="Times New Roman"/>
          <w:color w:val="000000"/>
          <w:lang w:eastAsia="cs-CZ"/>
        </w:rPr>
        <w:t xml:space="preserve"> of working age until 2014, while the average risks for other groups declined (</w:t>
      </w:r>
      <w:r w:rsidR="008023DA" w:rsidRPr="006740A5">
        <w:rPr>
          <w:rFonts w:eastAsia="Times New Roman"/>
          <w:color w:val="000000"/>
          <w:lang w:eastAsia="cs-CZ"/>
        </w:rPr>
        <w:fldChar w:fldCharType="begin"/>
      </w:r>
      <w:r w:rsidR="008023DA" w:rsidRPr="006740A5">
        <w:rPr>
          <w:rFonts w:eastAsia="Times New Roman"/>
          <w:color w:val="000000"/>
          <w:lang w:eastAsia="cs-CZ"/>
        </w:rPr>
        <w:instrText xml:space="preserve"> REF _Ref526752815 \h </w:instrText>
      </w:r>
      <w:r w:rsidR="00875F7E" w:rsidRPr="006740A5">
        <w:rPr>
          <w:rFonts w:eastAsia="Times New Roman"/>
          <w:color w:val="000000"/>
          <w:lang w:eastAsia="cs-CZ"/>
        </w:rPr>
        <w:instrText xml:space="preserve"> \* MERGEFORMAT </w:instrText>
      </w:r>
      <w:r w:rsidR="008023DA" w:rsidRPr="006740A5">
        <w:rPr>
          <w:rFonts w:eastAsia="Times New Roman"/>
          <w:color w:val="000000"/>
          <w:lang w:eastAsia="cs-CZ"/>
        </w:rPr>
      </w:r>
      <w:r w:rsidR="008023DA" w:rsidRPr="006740A5">
        <w:rPr>
          <w:rFonts w:eastAsia="Times New Roman"/>
          <w:color w:val="000000"/>
          <w:lang w:eastAsia="cs-CZ"/>
        </w:rPr>
        <w:fldChar w:fldCharType="separate"/>
      </w:r>
      <w:r w:rsidR="00B25DFD" w:rsidRPr="006740A5">
        <w:t xml:space="preserve">Table </w:t>
      </w:r>
      <w:r w:rsidR="00B25DFD" w:rsidRPr="006740A5">
        <w:rPr>
          <w:noProof/>
        </w:rPr>
        <w:t>18</w:t>
      </w:r>
      <w:r w:rsidR="008023DA" w:rsidRPr="006740A5">
        <w:rPr>
          <w:rFonts w:eastAsia="Times New Roman"/>
          <w:color w:val="000000"/>
          <w:lang w:eastAsia="cs-CZ"/>
        </w:rPr>
        <w:fldChar w:fldCharType="end"/>
      </w:r>
      <w:r w:rsidR="008023DA" w:rsidRPr="006740A5">
        <w:rPr>
          <w:rFonts w:eastAsia="Times New Roman"/>
          <w:color w:val="000000"/>
          <w:lang w:eastAsia="cs-CZ"/>
        </w:rPr>
        <w:t>)</w:t>
      </w:r>
      <w:r w:rsidR="00473BED" w:rsidRPr="006740A5">
        <w:rPr>
          <w:rFonts w:eastAsia="Times New Roman"/>
          <w:color w:val="000000"/>
          <w:lang w:eastAsia="cs-CZ"/>
        </w:rPr>
        <w:t>.</w:t>
      </w:r>
      <w:r w:rsidR="008023DA" w:rsidRPr="006740A5">
        <w:rPr>
          <w:rFonts w:eastAsia="Times New Roman"/>
          <w:color w:val="000000"/>
          <w:lang w:eastAsia="cs-CZ"/>
        </w:rPr>
        <w:t xml:space="preserve"> The headline risk reduced somewhat in 2015-16 but the</w:t>
      </w:r>
      <w:r w:rsidR="002E26F3" w:rsidRPr="006740A5">
        <w:rPr>
          <w:rFonts w:eastAsia="Times New Roman"/>
          <w:color w:val="000000"/>
          <w:lang w:eastAsia="cs-CZ"/>
        </w:rPr>
        <w:t xml:space="preserve"> gap remains wider now than it was in 2010-11, at 29% (more than three times the risk for non-disabled persons of</w:t>
      </w:r>
      <w:r w:rsidR="00952BA4">
        <w:rPr>
          <w:rFonts w:eastAsia="Times New Roman"/>
          <w:color w:val="000000"/>
          <w:lang w:eastAsia="cs-CZ"/>
        </w:rPr>
        <w:t xml:space="preserve"> t</w:t>
      </w:r>
      <w:r w:rsidR="002E26F3" w:rsidRPr="006740A5">
        <w:rPr>
          <w:rFonts w:eastAsia="Times New Roman"/>
          <w:color w:val="000000"/>
          <w:lang w:eastAsia="cs-CZ"/>
        </w:rPr>
        <w:t>he same age). This household inequality, affecting disabled people and their families, needs to be monitored and addressed.</w:t>
      </w:r>
    </w:p>
    <w:p w14:paraId="69FE19AA" w14:textId="77777777" w:rsidR="006740A5" w:rsidRPr="006740A5" w:rsidRDefault="006740A5" w:rsidP="006740A5">
      <w:pPr>
        <w:jc w:val="both"/>
        <w:rPr>
          <w:rFonts w:eastAsia="Times New Roman"/>
          <w:color w:val="000000"/>
          <w:lang w:eastAsia="cs-CZ"/>
        </w:rPr>
      </w:pPr>
    </w:p>
    <w:p w14:paraId="5D7434A4" w14:textId="5F4D03C1" w:rsidR="002E26F3" w:rsidRPr="006740A5" w:rsidRDefault="002E26F3" w:rsidP="006740A5">
      <w:pPr>
        <w:autoSpaceDE w:val="0"/>
        <w:autoSpaceDN w:val="0"/>
        <w:adjustRightInd w:val="0"/>
        <w:jc w:val="both"/>
        <w:rPr>
          <w:b/>
          <w:bCs/>
        </w:rPr>
      </w:pPr>
      <w:r w:rsidRPr="006740A5">
        <w:rPr>
          <w:b/>
          <w:bCs/>
        </w:rPr>
        <w:t>Sickness insurance benefit</w:t>
      </w:r>
    </w:p>
    <w:p w14:paraId="19ED53E6" w14:textId="5A5B0F24" w:rsidR="00E61EE0" w:rsidRPr="006740A5" w:rsidRDefault="00086DAC" w:rsidP="006740A5">
      <w:pPr>
        <w:autoSpaceDE w:val="0"/>
        <w:autoSpaceDN w:val="0"/>
        <w:adjustRightInd w:val="0"/>
        <w:jc w:val="both"/>
      </w:pPr>
      <w:r w:rsidRPr="006740A5">
        <w:t xml:space="preserve">Long-term caregivers and their families have been reported </w:t>
      </w:r>
      <w:r w:rsidR="002E26F3" w:rsidRPr="006740A5">
        <w:t>also to be</w:t>
      </w:r>
      <w:r w:rsidRPr="006740A5">
        <w:t xml:space="preserve"> </w:t>
      </w:r>
      <w:r w:rsidR="002E26F3" w:rsidRPr="006740A5">
        <w:t xml:space="preserve">at </w:t>
      </w:r>
      <w:r w:rsidRPr="006740A5">
        <w:t>risk of poverty and social exclusion (National Disability Plan).</w:t>
      </w:r>
      <w:r w:rsidRPr="006740A5">
        <w:rPr>
          <w:rStyle w:val="FootnoteReference"/>
        </w:rPr>
        <w:footnoteReference w:id="26"/>
      </w:r>
      <w:r w:rsidRPr="006740A5">
        <w:t xml:space="preserve"> </w:t>
      </w:r>
      <w:r w:rsidR="002E26F3" w:rsidRPr="006740A5">
        <w:t xml:space="preserve">Their situation </w:t>
      </w:r>
      <w:r w:rsidR="00C74712" w:rsidRPr="006740A5">
        <w:t>is expected to improve</w:t>
      </w:r>
      <w:r w:rsidRPr="006740A5">
        <w:t xml:space="preserve"> due to </w:t>
      </w:r>
      <w:r w:rsidR="0034784C" w:rsidRPr="006740A5">
        <w:t xml:space="preserve">legislative </w:t>
      </w:r>
      <w:r w:rsidRPr="006740A5">
        <w:t xml:space="preserve">measures </w:t>
      </w:r>
      <w:r w:rsidR="0034784C" w:rsidRPr="006740A5">
        <w:t>announced</w:t>
      </w:r>
      <w:r w:rsidRPr="006740A5">
        <w:t xml:space="preserve"> in 2018</w:t>
      </w:r>
      <w:r w:rsidR="00F415D9" w:rsidRPr="006740A5">
        <w:t xml:space="preserve">. </w:t>
      </w:r>
      <w:r w:rsidR="002E796E" w:rsidRPr="006740A5">
        <w:t>T</w:t>
      </w:r>
      <w:r w:rsidR="00E61EE0" w:rsidRPr="006740A5">
        <w:t>he Sickness Insurance Act introduces long-term care as a new sickness insurance benefit</w:t>
      </w:r>
      <w:r w:rsidR="002E796E" w:rsidRPr="006740A5">
        <w:t xml:space="preserve"> (effective from 1 July 2018</w:t>
      </w:r>
      <w:r w:rsidR="00E61EE0" w:rsidRPr="006740A5">
        <w:t xml:space="preserve">. </w:t>
      </w:r>
      <w:r w:rsidR="002E796E" w:rsidRPr="006740A5">
        <w:t>In addition,</w:t>
      </w:r>
      <w:r w:rsidR="00E61EE0" w:rsidRPr="006740A5">
        <w:t xml:space="preserve"> employers are </w:t>
      </w:r>
      <w:r w:rsidR="002E796E" w:rsidRPr="006740A5">
        <w:t xml:space="preserve">required to excuse </w:t>
      </w:r>
      <w:r w:rsidR="00E61EE0" w:rsidRPr="006740A5">
        <w:t>absence of an employee at work while providing long-term nursing care</w:t>
      </w:r>
      <w:r w:rsidR="002E796E" w:rsidRPr="006740A5">
        <w:t xml:space="preserve"> (The Labour Code)</w:t>
      </w:r>
      <w:r w:rsidR="002E26F3" w:rsidRPr="006740A5">
        <w:t>.</w:t>
      </w:r>
      <w:r w:rsidR="002E796E" w:rsidRPr="006740A5">
        <w:rPr>
          <w:rStyle w:val="FootnoteReference"/>
        </w:rPr>
        <w:footnoteReference w:id="27"/>
      </w:r>
      <w:r w:rsidR="00E61EE0" w:rsidRPr="006740A5">
        <w:t xml:space="preserve"> The purpose of the benefit is to provide </w:t>
      </w:r>
      <w:r w:rsidR="002E796E" w:rsidRPr="006740A5">
        <w:t xml:space="preserve">a </w:t>
      </w:r>
      <w:proofErr w:type="spellStart"/>
      <w:r w:rsidR="002E26F3" w:rsidRPr="006740A5">
        <w:t>carer</w:t>
      </w:r>
      <w:proofErr w:type="spellEnd"/>
      <w:r w:rsidR="002E26F3" w:rsidRPr="006740A5">
        <w:t xml:space="preserve"> </w:t>
      </w:r>
      <w:r w:rsidR="002E796E" w:rsidRPr="006740A5">
        <w:t xml:space="preserve">with </w:t>
      </w:r>
      <w:r w:rsidR="00E61EE0" w:rsidRPr="006740A5">
        <w:t xml:space="preserve">adequate compensation for the loss of income from gainful employment, which had to be interrupted due to the need for </w:t>
      </w:r>
      <w:r w:rsidR="0034784C" w:rsidRPr="006740A5">
        <w:t>personal</w:t>
      </w:r>
      <w:r w:rsidR="00E61EE0" w:rsidRPr="006740A5">
        <w:t xml:space="preserve"> care. </w:t>
      </w:r>
      <w:r w:rsidR="002E796E" w:rsidRPr="006740A5">
        <w:t>In addition, t</w:t>
      </w:r>
      <w:r w:rsidR="00E61EE0" w:rsidRPr="006740A5">
        <w:t xml:space="preserve">he benefit is expected to reduce </w:t>
      </w:r>
      <w:r w:rsidR="002E26F3" w:rsidRPr="006740A5">
        <w:t xml:space="preserve">the </w:t>
      </w:r>
      <w:r w:rsidR="00E61EE0" w:rsidRPr="006740A5">
        <w:t xml:space="preserve">number of hospitalised patients. The benefit should also assist families in preventing referral of </w:t>
      </w:r>
      <w:r w:rsidR="002E796E" w:rsidRPr="006740A5">
        <w:t xml:space="preserve">their </w:t>
      </w:r>
      <w:r w:rsidR="00E61EE0" w:rsidRPr="006740A5">
        <w:t>disabled member</w:t>
      </w:r>
      <w:r w:rsidR="002E796E" w:rsidRPr="006740A5">
        <w:t>s</w:t>
      </w:r>
      <w:r w:rsidR="00E61EE0" w:rsidRPr="006740A5">
        <w:t xml:space="preserve"> to hospital</w:t>
      </w:r>
      <w:r w:rsidR="00C61182" w:rsidRPr="006740A5">
        <w:t>s</w:t>
      </w:r>
      <w:r w:rsidR="00E61EE0" w:rsidRPr="006740A5">
        <w:t xml:space="preserve"> or to long-term health care </w:t>
      </w:r>
      <w:r w:rsidR="00C61182" w:rsidRPr="006740A5">
        <w:t xml:space="preserve">facilities </w:t>
      </w:r>
      <w:r w:rsidR="00E61EE0" w:rsidRPr="006740A5">
        <w:t xml:space="preserve">and thereby </w:t>
      </w:r>
      <w:r w:rsidR="00C61182" w:rsidRPr="006740A5">
        <w:t xml:space="preserve">to </w:t>
      </w:r>
      <w:r w:rsidR="002E26F3" w:rsidRPr="006740A5">
        <w:t xml:space="preserve">avoid </w:t>
      </w:r>
      <w:r w:rsidR="0034784C" w:rsidRPr="006740A5">
        <w:t xml:space="preserve">their </w:t>
      </w:r>
      <w:r w:rsidR="00E61EE0" w:rsidRPr="006740A5">
        <w:t xml:space="preserve">social exclusion.  </w:t>
      </w:r>
    </w:p>
    <w:p w14:paraId="16D71CBD" w14:textId="77777777" w:rsidR="00E61EE0" w:rsidRPr="006740A5" w:rsidRDefault="00E61EE0" w:rsidP="006740A5">
      <w:pPr>
        <w:jc w:val="both"/>
      </w:pPr>
    </w:p>
    <w:p w14:paraId="3F94080B" w14:textId="39068E66" w:rsidR="002E26F3" w:rsidRPr="006740A5" w:rsidRDefault="002E26F3" w:rsidP="006740A5">
      <w:pPr>
        <w:jc w:val="both"/>
        <w:rPr>
          <w:b/>
          <w:bCs/>
        </w:rPr>
      </w:pPr>
      <w:r w:rsidRPr="006740A5">
        <w:rPr>
          <w:b/>
          <w:bCs/>
        </w:rPr>
        <w:t>Disability assessment</w:t>
      </w:r>
    </w:p>
    <w:p w14:paraId="2422B2A7" w14:textId="39BF8308" w:rsidR="00C74712" w:rsidRPr="006740A5" w:rsidRDefault="005A5B63" w:rsidP="006740A5">
      <w:pPr>
        <w:jc w:val="both"/>
        <w:rPr>
          <w:color w:val="000000"/>
          <w:shd w:val="clear" w:color="auto" w:fill="FFFFFF"/>
        </w:rPr>
      </w:pPr>
      <w:r w:rsidRPr="006740A5">
        <w:t>Disability</w:t>
      </w:r>
      <w:r w:rsidR="00A9726A" w:rsidRPr="006740A5">
        <w:t xml:space="preserve"> </w:t>
      </w:r>
      <w:r w:rsidR="00717156" w:rsidRPr="006740A5">
        <w:t xml:space="preserve">assessment plays an important role </w:t>
      </w:r>
      <w:r w:rsidR="002E26F3" w:rsidRPr="006740A5">
        <w:t xml:space="preserve">in </w:t>
      </w:r>
      <w:r w:rsidR="00717156" w:rsidRPr="006740A5">
        <w:t>social protection and social inclusion</w:t>
      </w:r>
      <w:r w:rsidR="002E26F3" w:rsidRPr="006740A5">
        <w:t>,</w:t>
      </w:r>
      <w:r w:rsidR="00852A45" w:rsidRPr="006740A5">
        <w:t xml:space="preserve"> in empl</w:t>
      </w:r>
      <w:r w:rsidR="00C74712" w:rsidRPr="006740A5">
        <w:t xml:space="preserve">oyment and </w:t>
      </w:r>
      <w:r w:rsidR="002E26F3" w:rsidRPr="006740A5">
        <w:t xml:space="preserve">in </w:t>
      </w:r>
      <w:r w:rsidR="00C74712" w:rsidRPr="006740A5">
        <w:t xml:space="preserve">other </w:t>
      </w:r>
      <w:r w:rsidR="00086DAC" w:rsidRPr="006740A5">
        <w:t xml:space="preserve">life </w:t>
      </w:r>
      <w:r w:rsidR="00C74712" w:rsidRPr="006740A5">
        <w:t>domains</w:t>
      </w:r>
      <w:r w:rsidR="00717156" w:rsidRPr="006740A5">
        <w:t>.</w:t>
      </w:r>
      <w:r w:rsidR="00A9726A" w:rsidRPr="006740A5">
        <w:t xml:space="preserve"> </w:t>
      </w:r>
      <w:bookmarkStart w:id="12" w:name="_Hlk511374319"/>
      <w:r w:rsidR="001227F4" w:rsidRPr="006740A5">
        <w:t xml:space="preserve">Decree </w:t>
      </w:r>
      <w:r w:rsidRPr="006740A5">
        <w:rPr>
          <w:rFonts w:eastAsia="Times New Roman"/>
          <w:color w:val="070707"/>
          <w:kern w:val="36"/>
          <w:lang w:eastAsia="en-GB"/>
        </w:rPr>
        <w:t>359</w:t>
      </w:r>
      <w:bookmarkEnd w:id="12"/>
      <w:r w:rsidR="001227F4" w:rsidRPr="006740A5">
        <w:rPr>
          <w:rFonts w:eastAsia="Times New Roman"/>
          <w:color w:val="070707"/>
          <w:kern w:val="36"/>
          <w:lang w:eastAsia="en-GB"/>
        </w:rPr>
        <w:t>/2009</w:t>
      </w:r>
      <w:r w:rsidR="00C61182" w:rsidRPr="006740A5">
        <w:rPr>
          <w:rFonts w:eastAsia="Times New Roman"/>
          <w:color w:val="070707"/>
          <w:kern w:val="36"/>
          <w:lang w:eastAsia="en-GB"/>
        </w:rPr>
        <w:t xml:space="preserve"> </w:t>
      </w:r>
      <w:r w:rsidR="001227F4" w:rsidRPr="006740A5">
        <w:rPr>
          <w:rFonts w:eastAsia="Times New Roman"/>
          <w:color w:val="070707"/>
          <w:kern w:val="36"/>
          <w:lang w:eastAsia="en-GB"/>
        </w:rPr>
        <w:t xml:space="preserve">defines the requirements of </w:t>
      </w:r>
      <w:r w:rsidRPr="006740A5">
        <w:rPr>
          <w:rFonts w:eastAsia="Times New Roman"/>
          <w:color w:val="070707"/>
          <w:kern w:val="36"/>
          <w:lang w:eastAsia="en-GB"/>
        </w:rPr>
        <w:t>d</w:t>
      </w:r>
      <w:r w:rsidRPr="006740A5">
        <w:t>i</w:t>
      </w:r>
      <w:r w:rsidR="00717156" w:rsidRPr="006740A5">
        <w:t>sability</w:t>
      </w:r>
      <w:r w:rsidRPr="006740A5">
        <w:t xml:space="preserve"> assessment</w:t>
      </w:r>
      <w:r w:rsidR="00D45F33" w:rsidRPr="006740A5">
        <w:rPr>
          <w:rStyle w:val="FootnoteReference"/>
          <w:rFonts w:eastAsia="Times New Roman"/>
          <w:color w:val="070707"/>
          <w:kern w:val="36"/>
          <w:lang w:eastAsia="en-GB"/>
        </w:rPr>
        <w:footnoteReference w:id="28"/>
      </w:r>
      <w:r w:rsidR="001227F4" w:rsidRPr="006740A5">
        <w:rPr>
          <w:rFonts w:eastAsia="Times New Roman"/>
          <w:color w:val="070707"/>
          <w:kern w:val="36"/>
          <w:lang w:eastAsia="en-GB"/>
        </w:rPr>
        <w:t xml:space="preserve"> and the processes are analysed in detail in the 2017 ANED report on this topic. </w:t>
      </w:r>
      <w:r w:rsidR="001227F4" w:rsidRPr="006740A5">
        <w:t>Concerns have been raised</w:t>
      </w:r>
      <w:r w:rsidR="00A9726A" w:rsidRPr="006740A5">
        <w:rPr>
          <w:color w:val="000000"/>
          <w:shd w:val="clear" w:color="auto" w:fill="FFFFFF"/>
        </w:rPr>
        <w:t xml:space="preserve"> that the assessment draws </w:t>
      </w:r>
      <w:r w:rsidR="00F415D9" w:rsidRPr="006740A5">
        <w:rPr>
          <w:color w:val="000000"/>
          <w:shd w:val="clear" w:color="auto" w:fill="FFFFFF"/>
        </w:rPr>
        <w:t>predominantly</w:t>
      </w:r>
      <w:r w:rsidR="00A9726A" w:rsidRPr="006740A5">
        <w:rPr>
          <w:color w:val="000000"/>
          <w:shd w:val="clear" w:color="auto" w:fill="FFFFFF"/>
        </w:rPr>
        <w:t xml:space="preserve"> </w:t>
      </w:r>
      <w:r w:rsidR="006F45A9" w:rsidRPr="006740A5">
        <w:rPr>
          <w:color w:val="000000"/>
          <w:shd w:val="clear" w:color="auto" w:fill="FFFFFF"/>
        </w:rPr>
        <w:t xml:space="preserve">on medical </w:t>
      </w:r>
      <w:r w:rsidR="00852A45" w:rsidRPr="006740A5">
        <w:rPr>
          <w:color w:val="000000"/>
          <w:shd w:val="clear" w:color="auto" w:fill="FFFFFF"/>
        </w:rPr>
        <w:t>examination</w:t>
      </w:r>
      <w:r w:rsidR="001227F4" w:rsidRPr="006740A5">
        <w:rPr>
          <w:color w:val="000000"/>
          <w:shd w:val="clear" w:color="auto" w:fill="FFFFFF"/>
        </w:rPr>
        <w:t xml:space="preserve">, </w:t>
      </w:r>
      <w:r w:rsidR="00F415D9" w:rsidRPr="006740A5">
        <w:rPr>
          <w:color w:val="000000"/>
          <w:shd w:val="clear" w:color="auto" w:fill="FFFFFF"/>
        </w:rPr>
        <w:t xml:space="preserve">with </w:t>
      </w:r>
      <w:r w:rsidR="001227F4" w:rsidRPr="006740A5">
        <w:rPr>
          <w:color w:val="000000"/>
          <w:shd w:val="clear" w:color="auto" w:fill="FFFFFF"/>
        </w:rPr>
        <w:t xml:space="preserve">the </w:t>
      </w:r>
      <w:r w:rsidR="00F415D9" w:rsidRPr="006740A5">
        <w:rPr>
          <w:color w:val="000000"/>
          <w:shd w:val="clear" w:color="auto" w:fill="FFFFFF"/>
        </w:rPr>
        <w:t xml:space="preserve">aim </w:t>
      </w:r>
      <w:r w:rsidR="001227F4" w:rsidRPr="006740A5">
        <w:rPr>
          <w:color w:val="000000"/>
          <w:shd w:val="clear" w:color="auto" w:fill="FFFFFF"/>
        </w:rPr>
        <w:t>of compensation, rather than</w:t>
      </w:r>
      <w:r w:rsidR="00717156" w:rsidRPr="006740A5">
        <w:rPr>
          <w:color w:val="000000"/>
          <w:shd w:val="clear" w:color="auto" w:fill="FFFFFF"/>
        </w:rPr>
        <w:t xml:space="preserve"> by other professionals </w:t>
      </w:r>
      <w:r w:rsidR="001227F4" w:rsidRPr="006740A5">
        <w:rPr>
          <w:color w:val="000000"/>
          <w:shd w:val="clear" w:color="auto" w:fill="FFFFFF"/>
        </w:rPr>
        <w:t>(</w:t>
      </w:r>
      <w:r w:rsidR="00717156" w:rsidRPr="006740A5">
        <w:rPr>
          <w:color w:val="000000"/>
          <w:shd w:val="clear" w:color="auto" w:fill="FFFFFF"/>
        </w:rPr>
        <w:t>such as vocational therapists and social workers</w:t>
      </w:r>
      <w:r w:rsidR="001227F4" w:rsidRPr="006740A5">
        <w:rPr>
          <w:color w:val="000000"/>
          <w:shd w:val="clear" w:color="auto" w:fill="FFFFFF"/>
        </w:rPr>
        <w:t>)</w:t>
      </w:r>
      <w:r w:rsidR="00C74712" w:rsidRPr="006740A5">
        <w:rPr>
          <w:color w:val="000000"/>
          <w:shd w:val="clear" w:color="auto" w:fill="FFFFFF"/>
        </w:rPr>
        <w:t xml:space="preserve"> with </w:t>
      </w:r>
      <w:r w:rsidR="001227F4" w:rsidRPr="006740A5">
        <w:rPr>
          <w:color w:val="000000"/>
          <w:shd w:val="clear" w:color="auto" w:fill="FFFFFF"/>
        </w:rPr>
        <w:t xml:space="preserve">the </w:t>
      </w:r>
      <w:r w:rsidR="00C74712" w:rsidRPr="006740A5">
        <w:rPr>
          <w:color w:val="000000"/>
          <w:shd w:val="clear" w:color="auto" w:fill="FFFFFF"/>
        </w:rPr>
        <w:t xml:space="preserve">aim to </w:t>
      </w:r>
      <w:r w:rsidR="00086DAC" w:rsidRPr="006740A5">
        <w:rPr>
          <w:color w:val="000000"/>
          <w:shd w:val="clear" w:color="auto" w:fill="FFFFFF"/>
        </w:rPr>
        <w:t xml:space="preserve">assess </w:t>
      </w:r>
      <w:r w:rsidR="00C74712" w:rsidRPr="006740A5">
        <w:rPr>
          <w:color w:val="000000"/>
          <w:shd w:val="clear" w:color="auto" w:fill="FFFFFF"/>
        </w:rPr>
        <w:t>work potential</w:t>
      </w:r>
      <w:r w:rsidR="001227F4" w:rsidRPr="006740A5">
        <w:rPr>
          <w:color w:val="000000"/>
          <w:shd w:val="clear" w:color="auto" w:fill="FFFFFF"/>
        </w:rPr>
        <w:t xml:space="preserve">, </w:t>
      </w:r>
      <w:r w:rsidR="00086DAC" w:rsidRPr="006740A5">
        <w:rPr>
          <w:color w:val="000000"/>
          <w:shd w:val="clear" w:color="auto" w:fill="FFFFFF"/>
        </w:rPr>
        <w:t xml:space="preserve">opportunities </w:t>
      </w:r>
      <w:r w:rsidR="001227F4" w:rsidRPr="006740A5">
        <w:rPr>
          <w:color w:val="000000"/>
          <w:shd w:val="clear" w:color="auto" w:fill="FFFFFF"/>
        </w:rPr>
        <w:t>and</w:t>
      </w:r>
      <w:r w:rsidR="00086DAC" w:rsidRPr="006740A5">
        <w:rPr>
          <w:color w:val="000000"/>
          <w:shd w:val="clear" w:color="auto" w:fill="FFFFFF"/>
        </w:rPr>
        <w:t xml:space="preserve"> corresponding</w:t>
      </w:r>
      <w:r w:rsidR="00C74712" w:rsidRPr="006740A5">
        <w:rPr>
          <w:color w:val="000000"/>
          <w:shd w:val="clear" w:color="auto" w:fill="FFFFFF"/>
        </w:rPr>
        <w:t xml:space="preserve"> support</w:t>
      </w:r>
      <w:r w:rsidR="00086DAC" w:rsidRPr="006740A5">
        <w:rPr>
          <w:color w:val="000000"/>
          <w:shd w:val="clear" w:color="auto" w:fill="FFFFFF"/>
        </w:rPr>
        <w:t xml:space="preserve"> </w:t>
      </w:r>
      <w:r w:rsidR="001227F4" w:rsidRPr="006740A5">
        <w:rPr>
          <w:color w:val="000000"/>
          <w:shd w:val="clear" w:color="auto" w:fill="FFFFFF"/>
        </w:rPr>
        <w:t>measures</w:t>
      </w:r>
      <w:r w:rsidR="00717156" w:rsidRPr="006740A5">
        <w:rPr>
          <w:color w:val="000000"/>
          <w:shd w:val="clear" w:color="auto" w:fill="FFFFFF"/>
        </w:rPr>
        <w:t>.</w:t>
      </w:r>
      <w:r w:rsidR="00717156" w:rsidRPr="006740A5">
        <w:rPr>
          <w:rStyle w:val="FootnoteReference"/>
          <w:color w:val="000000"/>
          <w:shd w:val="clear" w:color="auto" w:fill="FFFFFF"/>
        </w:rPr>
        <w:footnoteReference w:id="29"/>
      </w:r>
      <w:r w:rsidR="00D45F33" w:rsidRPr="006740A5">
        <w:rPr>
          <w:color w:val="000000"/>
          <w:shd w:val="clear" w:color="auto" w:fill="FFFFFF"/>
        </w:rPr>
        <w:t xml:space="preserve"> </w:t>
      </w:r>
      <w:r w:rsidR="00A9726A" w:rsidRPr="006740A5">
        <w:rPr>
          <w:color w:val="000000"/>
          <w:shd w:val="clear" w:color="auto" w:fill="FFFFFF"/>
        </w:rPr>
        <w:t>The current system is out-of-date</w:t>
      </w:r>
      <w:r w:rsidR="001227F4" w:rsidRPr="006740A5">
        <w:rPr>
          <w:color w:val="000000"/>
          <w:shd w:val="clear" w:color="auto" w:fill="FFFFFF"/>
        </w:rPr>
        <w:t>,</w:t>
      </w:r>
      <w:r w:rsidR="00A9726A" w:rsidRPr="006740A5">
        <w:rPr>
          <w:color w:val="000000"/>
          <w:shd w:val="clear" w:color="auto" w:fill="FFFFFF"/>
        </w:rPr>
        <w:t xml:space="preserve"> with unfavourable consequences for thousands of disabled persons. </w:t>
      </w:r>
      <w:r w:rsidR="001227F4" w:rsidRPr="006740A5">
        <w:rPr>
          <w:rFonts w:eastAsia="Times New Roman"/>
          <w:color w:val="000000"/>
          <w:lang w:eastAsia="cs-CZ"/>
        </w:rPr>
        <w:t xml:space="preserve">In addition, the </w:t>
      </w:r>
      <w:r w:rsidR="001227F4" w:rsidRPr="006740A5">
        <w:t xml:space="preserve">Ombudsman has reported some </w:t>
      </w:r>
      <w:r w:rsidR="001227F4" w:rsidRPr="006740A5">
        <w:lastRenderedPageBreak/>
        <w:t>shortcomings in the disability assessment reports. These include failure to provide exhaustive evidence to support decisions on disability pension and the overall incompleteness of assessment reports as stipulated by the Decree.</w:t>
      </w:r>
      <w:r w:rsidR="001227F4" w:rsidRPr="006740A5">
        <w:rPr>
          <w:rStyle w:val="FootnoteReference"/>
        </w:rPr>
        <w:footnoteReference w:id="30"/>
      </w:r>
    </w:p>
    <w:p w14:paraId="03A33DA0" w14:textId="77777777" w:rsidR="001227F4" w:rsidRPr="006740A5" w:rsidRDefault="001227F4" w:rsidP="006740A5">
      <w:pPr>
        <w:jc w:val="both"/>
        <w:rPr>
          <w:color w:val="000000"/>
          <w:shd w:val="clear" w:color="auto" w:fill="FFFFFF"/>
        </w:rPr>
      </w:pPr>
    </w:p>
    <w:p w14:paraId="016F6632" w14:textId="4B3E48BB" w:rsidR="00707FAD" w:rsidRPr="006740A5" w:rsidRDefault="00F415D9" w:rsidP="006740A5">
      <w:pPr>
        <w:jc w:val="both"/>
        <w:rPr>
          <w:shd w:val="clear" w:color="auto" w:fill="FFFFFF"/>
        </w:rPr>
      </w:pPr>
      <w:r w:rsidRPr="006740A5">
        <w:rPr>
          <w:shd w:val="clear" w:color="auto" w:fill="FFFFFF"/>
        </w:rPr>
        <w:t xml:space="preserve">Already in </w:t>
      </w:r>
      <w:r w:rsidR="001227F4" w:rsidRPr="006740A5">
        <w:rPr>
          <w:shd w:val="clear" w:color="auto" w:fill="FFFFFF"/>
        </w:rPr>
        <w:t>the 1990s</w:t>
      </w:r>
      <w:r w:rsidRPr="006740A5">
        <w:rPr>
          <w:shd w:val="clear" w:color="auto" w:fill="FFFFFF"/>
        </w:rPr>
        <w:t>, t</w:t>
      </w:r>
      <w:r w:rsidR="005A5B63" w:rsidRPr="006740A5">
        <w:rPr>
          <w:lang w:eastAsia="cs-CZ"/>
        </w:rPr>
        <w:t xml:space="preserve">he Czech Republic </w:t>
      </w:r>
      <w:r w:rsidR="001227F4" w:rsidRPr="006740A5">
        <w:rPr>
          <w:lang w:eastAsia="cs-CZ"/>
        </w:rPr>
        <w:t xml:space="preserve">had </w:t>
      </w:r>
      <w:r w:rsidRPr="006740A5">
        <w:rPr>
          <w:lang w:eastAsia="cs-CZ"/>
        </w:rPr>
        <w:t>envisioned</w:t>
      </w:r>
      <w:r w:rsidR="005A5B63" w:rsidRPr="006740A5">
        <w:rPr>
          <w:lang w:eastAsia="cs-CZ"/>
        </w:rPr>
        <w:t xml:space="preserve"> to apply </w:t>
      </w:r>
      <w:r w:rsidRPr="006740A5">
        <w:rPr>
          <w:lang w:eastAsia="cs-CZ"/>
        </w:rPr>
        <w:t xml:space="preserve">the </w:t>
      </w:r>
      <w:r w:rsidR="005A5B63" w:rsidRPr="006740A5">
        <w:rPr>
          <w:lang w:eastAsia="cs-CZ"/>
        </w:rPr>
        <w:t xml:space="preserve">WHO the International Classification of Functional, Disability and Health </w:t>
      </w:r>
      <w:r w:rsidR="001227F4" w:rsidRPr="006740A5">
        <w:rPr>
          <w:lang w:eastAsia="cs-CZ"/>
        </w:rPr>
        <w:t xml:space="preserve">(ICF) to disability assessment but </w:t>
      </w:r>
      <w:r w:rsidR="00086DAC" w:rsidRPr="006740A5">
        <w:rPr>
          <w:lang w:eastAsia="cs-CZ"/>
        </w:rPr>
        <w:t>preparat</w:t>
      </w:r>
      <w:r w:rsidR="001227F4" w:rsidRPr="006740A5">
        <w:rPr>
          <w:lang w:eastAsia="cs-CZ"/>
        </w:rPr>
        <w:t>ions</w:t>
      </w:r>
      <w:r w:rsidR="005A5B63" w:rsidRPr="006740A5">
        <w:rPr>
          <w:lang w:eastAsia="cs-CZ"/>
        </w:rPr>
        <w:t xml:space="preserve"> were suspended in 2012. It is advisable to reconsider </w:t>
      </w:r>
      <w:r w:rsidR="00086DAC" w:rsidRPr="006740A5">
        <w:rPr>
          <w:lang w:eastAsia="cs-CZ"/>
        </w:rPr>
        <w:t xml:space="preserve">the </w:t>
      </w:r>
      <w:r w:rsidR="001227F4" w:rsidRPr="006740A5">
        <w:rPr>
          <w:lang w:eastAsia="cs-CZ"/>
        </w:rPr>
        <w:t>ICF</w:t>
      </w:r>
      <w:r w:rsidR="005A5B63" w:rsidRPr="006740A5">
        <w:rPr>
          <w:lang w:eastAsia="cs-CZ"/>
        </w:rPr>
        <w:t xml:space="preserve"> </w:t>
      </w:r>
      <w:r w:rsidR="001227F4" w:rsidRPr="006740A5">
        <w:rPr>
          <w:lang w:eastAsia="cs-CZ"/>
        </w:rPr>
        <w:t xml:space="preserve">in </w:t>
      </w:r>
      <w:r w:rsidR="005A5B63" w:rsidRPr="006740A5">
        <w:rPr>
          <w:lang w:eastAsia="cs-CZ"/>
        </w:rPr>
        <w:t>health services</w:t>
      </w:r>
      <w:r w:rsidR="001227F4" w:rsidRPr="006740A5">
        <w:rPr>
          <w:lang w:eastAsia="cs-CZ"/>
        </w:rPr>
        <w:t xml:space="preserve">, </w:t>
      </w:r>
      <w:r w:rsidR="005A5B63" w:rsidRPr="006740A5">
        <w:rPr>
          <w:lang w:eastAsia="cs-CZ"/>
        </w:rPr>
        <w:t xml:space="preserve">social work, social services and </w:t>
      </w:r>
      <w:r w:rsidR="001227F4" w:rsidRPr="006740A5">
        <w:rPr>
          <w:lang w:eastAsia="cs-CZ"/>
        </w:rPr>
        <w:t xml:space="preserve">the </w:t>
      </w:r>
      <w:r w:rsidR="005A5B63" w:rsidRPr="006740A5">
        <w:rPr>
          <w:lang w:eastAsia="cs-CZ"/>
        </w:rPr>
        <w:t>system of disability benefits.</w:t>
      </w:r>
      <w:r w:rsidR="005A5B63" w:rsidRPr="006740A5">
        <w:rPr>
          <w:shd w:val="clear" w:color="auto" w:fill="FFFFFF"/>
        </w:rPr>
        <w:t xml:space="preserve"> </w:t>
      </w:r>
      <w:r w:rsidR="00852A45" w:rsidRPr="006740A5">
        <w:rPr>
          <w:shd w:val="clear" w:color="auto" w:fill="FFFFFF"/>
        </w:rPr>
        <w:t xml:space="preserve">Likewise, </w:t>
      </w:r>
      <w:r w:rsidR="001227F4" w:rsidRPr="006740A5">
        <w:rPr>
          <w:shd w:val="clear" w:color="auto" w:fill="FFFFFF"/>
        </w:rPr>
        <w:t xml:space="preserve">the </w:t>
      </w:r>
      <w:r w:rsidR="00D45F33" w:rsidRPr="006740A5">
        <w:rPr>
          <w:lang w:eastAsia="cs-CZ"/>
        </w:rPr>
        <w:t>Disability Plan 2015</w:t>
      </w:r>
      <w:r w:rsidR="001227F4" w:rsidRPr="006740A5">
        <w:rPr>
          <w:lang w:eastAsia="cs-CZ"/>
        </w:rPr>
        <w:t>-</w:t>
      </w:r>
      <w:r w:rsidR="00D45F33" w:rsidRPr="006740A5">
        <w:rPr>
          <w:lang w:eastAsia="cs-CZ"/>
        </w:rPr>
        <w:t xml:space="preserve">2020 (revision 2017) </w:t>
      </w:r>
      <w:r w:rsidR="00852A45" w:rsidRPr="006740A5">
        <w:rPr>
          <w:lang w:eastAsia="cs-CZ"/>
        </w:rPr>
        <w:t>calls</w:t>
      </w:r>
      <w:r w:rsidR="00D45F33" w:rsidRPr="006740A5">
        <w:rPr>
          <w:lang w:eastAsia="cs-CZ"/>
        </w:rPr>
        <w:t xml:space="preserve"> for </w:t>
      </w:r>
      <w:r w:rsidR="00473BED" w:rsidRPr="006740A5">
        <w:rPr>
          <w:lang w:eastAsia="cs-CZ"/>
        </w:rPr>
        <w:t>find</w:t>
      </w:r>
      <w:r w:rsidR="00D45F33" w:rsidRPr="006740A5">
        <w:rPr>
          <w:lang w:eastAsia="cs-CZ"/>
        </w:rPr>
        <w:t>ing</w:t>
      </w:r>
      <w:r w:rsidR="00473BED" w:rsidRPr="006740A5">
        <w:rPr>
          <w:lang w:eastAsia="cs-CZ"/>
        </w:rPr>
        <w:t xml:space="preserve"> ways to improve </w:t>
      </w:r>
      <w:r w:rsidR="001227F4" w:rsidRPr="006740A5">
        <w:rPr>
          <w:lang w:eastAsia="cs-CZ"/>
        </w:rPr>
        <w:t xml:space="preserve">the </w:t>
      </w:r>
      <w:r w:rsidR="00D45F33" w:rsidRPr="006740A5">
        <w:rPr>
          <w:lang w:eastAsia="cs-CZ"/>
        </w:rPr>
        <w:t>disability</w:t>
      </w:r>
      <w:r w:rsidR="00473BED" w:rsidRPr="006740A5">
        <w:rPr>
          <w:lang w:eastAsia="cs-CZ"/>
        </w:rPr>
        <w:t xml:space="preserve"> assessment system</w:t>
      </w:r>
      <w:r w:rsidR="00702D6C" w:rsidRPr="006740A5">
        <w:rPr>
          <w:lang w:eastAsia="cs-CZ"/>
        </w:rPr>
        <w:t xml:space="preserve"> and to</w:t>
      </w:r>
      <w:r w:rsidR="00473BED" w:rsidRPr="006740A5">
        <w:rPr>
          <w:lang w:eastAsia="cs-CZ"/>
        </w:rPr>
        <w:t xml:space="preserve"> </w:t>
      </w:r>
      <w:r w:rsidR="00702D6C" w:rsidRPr="006740A5">
        <w:rPr>
          <w:lang w:eastAsia="cs-CZ"/>
        </w:rPr>
        <w:t>scrutinise</w:t>
      </w:r>
      <w:r w:rsidR="00473BED" w:rsidRPr="006740A5">
        <w:rPr>
          <w:lang w:eastAsia="cs-CZ"/>
        </w:rPr>
        <w:t xml:space="preserve"> whether</w:t>
      </w:r>
      <w:r w:rsidR="001227F4" w:rsidRPr="006740A5">
        <w:rPr>
          <w:lang w:eastAsia="cs-CZ"/>
        </w:rPr>
        <w:t>,</w:t>
      </w:r>
      <w:r w:rsidR="00473BED" w:rsidRPr="006740A5">
        <w:rPr>
          <w:lang w:eastAsia="cs-CZ"/>
        </w:rPr>
        <w:t xml:space="preserve"> and in what form</w:t>
      </w:r>
      <w:r w:rsidR="001227F4" w:rsidRPr="006740A5">
        <w:rPr>
          <w:lang w:eastAsia="cs-CZ"/>
        </w:rPr>
        <w:t>,</w:t>
      </w:r>
      <w:r w:rsidR="00473BED" w:rsidRPr="006740A5">
        <w:rPr>
          <w:lang w:eastAsia="cs-CZ"/>
        </w:rPr>
        <w:t xml:space="preserve"> it </w:t>
      </w:r>
      <w:r w:rsidR="00702D6C" w:rsidRPr="006740A5">
        <w:rPr>
          <w:lang w:eastAsia="cs-CZ"/>
        </w:rPr>
        <w:t>is</w:t>
      </w:r>
      <w:r w:rsidR="00473BED" w:rsidRPr="006740A5">
        <w:rPr>
          <w:lang w:eastAsia="cs-CZ"/>
        </w:rPr>
        <w:t xml:space="preserve"> possible to set up a mul</w:t>
      </w:r>
      <w:r w:rsidR="006F45A9" w:rsidRPr="006740A5">
        <w:rPr>
          <w:lang w:eastAsia="cs-CZ"/>
        </w:rPr>
        <w:t>tidisciplinary approach</w:t>
      </w:r>
      <w:r w:rsidRPr="006740A5">
        <w:rPr>
          <w:lang w:eastAsia="cs-CZ"/>
        </w:rPr>
        <w:t xml:space="preserve"> </w:t>
      </w:r>
      <w:r w:rsidR="001227F4" w:rsidRPr="006740A5">
        <w:rPr>
          <w:lang w:eastAsia="cs-CZ"/>
        </w:rPr>
        <w:t>(</w:t>
      </w:r>
      <w:r w:rsidRPr="006740A5">
        <w:rPr>
          <w:lang w:eastAsia="cs-CZ"/>
        </w:rPr>
        <w:t xml:space="preserve">recognising that </w:t>
      </w:r>
      <w:r w:rsidR="001227F4" w:rsidRPr="006740A5">
        <w:rPr>
          <w:lang w:eastAsia="cs-CZ"/>
        </w:rPr>
        <w:t>this</w:t>
      </w:r>
      <w:r w:rsidRPr="006740A5">
        <w:rPr>
          <w:lang w:eastAsia="cs-CZ"/>
        </w:rPr>
        <w:t xml:space="preserve"> leads to </w:t>
      </w:r>
      <w:r w:rsidR="00473BED" w:rsidRPr="006740A5">
        <w:rPr>
          <w:lang w:eastAsia="cs-CZ"/>
        </w:rPr>
        <w:t xml:space="preserve">more objective and transparent </w:t>
      </w:r>
      <w:r w:rsidR="00166850" w:rsidRPr="006740A5">
        <w:rPr>
          <w:lang w:eastAsia="cs-CZ"/>
        </w:rPr>
        <w:t>assessment</w:t>
      </w:r>
      <w:r w:rsidR="00473BED" w:rsidRPr="006740A5">
        <w:rPr>
          <w:lang w:eastAsia="cs-CZ"/>
        </w:rPr>
        <w:t xml:space="preserve"> of long-term adverse health condition</w:t>
      </w:r>
      <w:r w:rsidR="005A5B63" w:rsidRPr="006740A5">
        <w:rPr>
          <w:lang w:eastAsia="cs-CZ"/>
        </w:rPr>
        <w:t xml:space="preserve">s and </w:t>
      </w:r>
      <w:r w:rsidR="00086DAC" w:rsidRPr="006740A5">
        <w:rPr>
          <w:lang w:eastAsia="cs-CZ"/>
        </w:rPr>
        <w:t>their</w:t>
      </w:r>
      <w:r w:rsidR="00473BED" w:rsidRPr="006740A5">
        <w:rPr>
          <w:lang w:eastAsia="cs-CZ"/>
        </w:rPr>
        <w:t xml:space="preserve"> consequences</w:t>
      </w:r>
      <w:r w:rsidR="001227F4" w:rsidRPr="006740A5">
        <w:rPr>
          <w:lang w:eastAsia="cs-CZ"/>
        </w:rPr>
        <w:t>)</w:t>
      </w:r>
      <w:r w:rsidR="00473BED" w:rsidRPr="006740A5">
        <w:rPr>
          <w:lang w:eastAsia="cs-CZ"/>
        </w:rPr>
        <w:t>.</w:t>
      </w:r>
      <w:r w:rsidR="005A5B63" w:rsidRPr="006740A5">
        <w:rPr>
          <w:lang w:eastAsia="cs-CZ"/>
        </w:rPr>
        <w:t xml:space="preserve"> </w:t>
      </w:r>
    </w:p>
    <w:p w14:paraId="64593AB7" w14:textId="77777777" w:rsidR="00D45F33" w:rsidRPr="006740A5" w:rsidRDefault="00D45F33" w:rsidP="006740A5">
      <w:pPr>
        <w:jc w:val="both"/>
      </w:pPr>
    </w:p>
    <w:p w14:paraId="51B0A4F9" w14:textId="1BDC6EF6" w:rsidR="001227F4" w:rsidRPr="006740A5" w:rsidRDefault="0091665C" w:rsidP="006740A5">
      <w:pPr>
        <w:jc w:val="both"/>
        <w:rPr>
          <w:b/>
          <w:bCs/>
        </w:rPr>
      </w:pPr>
      <w:r w:rsidRPr="006740A5">
        <w:rPr>
          <w:b/>
          <w:bCs/>
        </w:rPr>
        <w:t>De-i</w:t>
      </w:r>
      <w:r w:rsidR="001227F4" w:rsidRPr="006740A5">
        <w:rPr>
          <w:b/>
          <w:bCs/>
        </w:rPr>
        <w:t>nstitutionalisation</w:t>
      </w:r>
      <w:r w:rsidRPr="006740A5">
        <w:rPr>
          <w:b/>
          <w:bCs/>
        </w:rPr>
        <w:t xml:space="preserve"> and long-term care</w:t>
      </w:r>
    </w:p>
    <w:p w14:paraId="5FC7F012" w14:textId="4FE43EA2" w:rsidR="000B79B9" w:rsidRPr="006740A5" w:rsidRDefault="00702D6C" w:rsidP="006740A5">
      <w:pPr>
        <w:jc w:val="both"/>
      </w:pPr>
      <w:r w:rsidRPr="006740A5">
        <w:t xml:space="preserve">As </w:t>
      </w:r>
      <w:r w:rsidR="006F45A9" w:rsidRPr="006740A5">
        <w:t>previously reported</w:t>
      </w:r>
      <w:r w:rsidR="00ED3E75" w:rsidRPr="006740A5">
        <w:t>,</w:t>
      </w:r>
      <w:r w:rsidR="006F45A9" w:rsidRPr="006740A5">
        <w:t xml:space="preserve"> </w:t>
      </w:r>
      <w:r w:rsidR="00ED3E75" w:rsidRPr="006740A5">
        <w:t>r</w:t>
      </w:r>
      <w:r w:rsidR="00A50844" w:rsidRPr="006740A5">
        <w:t xml:space="preserve">esidential social services </w:t>
      </w:r>
      <w:r w:rsidR="000B79B9" w:rsidRPr="006740A5">
        <w:t>(</w:t>
      </w:r>
      <w:r w:rsidR="00ED3E75" w:rsidRPr="006740A5">
        <w:t>particularly</w:t>
      </w:r>
      <w:r w:rsidR="00A50844" w:rsidRPr="006740A5">
        <w:t xml:space="preserve"> for persons with intellectual disabilities</w:t>
      </w:r>
      <w:r w:rsidR="000B79B9" w:rsidRPr="006740A5">
        <w:t>)</w:t>
      </w:r>
      <w:r w:rsidR="00A50844" w:rsidRPr="006740A5">
        <w:t xml:space="preserve"> in the Czech Republic are </w:t>
      </w:r>
      <w:r w:rsidR="006F45A9" w:rsidRPr="006740A5">
        <w:t xml:space="preserve">still largely </w:t>
      </w:r>
      <w:r w:rsidR="00ED3E75" w:rsidRPr="006740A5">
        <w:t>provided</w:t>
      </w:r>
      <w:r w:rsidR="00FA23CB" w:rsidRPr="006740A5">
        <w:t xml:space="preserve"> in</w:t>
      </w:r>
      <w:r w:rsidR="00A50844" w:rsidRPr="006740A5">
        <w:t xml:space="preserve"> institution</w:t>
      </w:r>
      <w:r w:rsidR="000B79B9" w:rsidRPr="006740A5">
        <w:t>alised</w:t>
      </w:r>
      <w:r w:rsidR="00A50844" w:rsidRPr="006740A5">
        <w:t xml:space="preserve"> </w:t>
      </w:r>
      <w:r w:rsidR="00FA23CB" w:rsidRPr="006740A5">
        <w:t>facilities</w:t>
      </w:r>
      <w:r w:rsidR="00A50844" w:rsidRPr="006740A5">
        <w:t xml:space="preserve"> (large and multi-beds). </w:t>
      </w:r>
      <w:r w:rsidR="006F45A9" w:rsidRPr="006740A5">
        <w:t xml:space="preserve">In addition, </w:t>
      </w:r>
      <w:r w:rsidR="00A50844" w:rsidRPr="006740A5">
        <w:t>community-</w:t>
      </w:r>
      <w:r w:rsidRPr="006740A5">
        <w:t>based services</w:t>
      </w:r>
      <w:r w:rsidR="00A50844" w:rsidRPr="006740A5">
        <w:t xml:space="preserve"> </w:t>
      </w:r>
      <w:r w:rsidR="00852A45" w:rsidRPr="006740A5">
        <w:t>in the Czech Republic remain</w:t>
      </w:r>
      <w:r w:rsidR="00A50844" w:rsidRPr="006740A5">
        <w:t xml:space="preserve"> insufficient. </w:t>
      </w:r>
      <w:r w:rsidR="000B79B9" w:rsidRPr="006740A5">
        <w:t>The a</w:t>
      </w:r>
      <w:r w:rsidR="006F45A9" w:rsidRPr="006740A5">
        <w:t xml:space="preserve">bsence of </w:t>
      </w:r>
      <w:r w:rsidR="00ED3E75" w:rsidRPr="006740A5">
        <w:t>community-based</w:t>
      </w:r>
      <w:r w:rsidR="006F45A9" w:rsidRPr="006740A5">
        <w:t xml:space="preserve"> services </w:t>
      </w:r>
      <w:r w:rsidR="00ED3E75" w:rsidRPr="006740A5">
        <w:t xml:space="preserve">results in </w:t>
      </w:r>
      <w:r w:rsidR="006F45A9" w:rsidRPr="006740A5">
        <w:t>p</w:t>
      </w:r>
      <w:r w:rsidR="00ED3E75" w:rsidRPr="006740A5">
        <w:t>reventing</w:t>
      </w:r>
      <w:r w:rsidR="006F45A9" w:rsidRPr="006740A5">
        <w:t xml:space="preserve"> disabled people from </w:t>
      </w:r>
      <w:r w:rsidR="00ED3E75" w:rsidRPr="006740A5">
        <w:t xml:space="preserve">exercising </w:t>
      </w:r>
      <w:r w:rsidR="006F45A9" w:rsidRPr="006740A5">
        <w:t>their right to decide where to live</w:t>
      </w:r>
      <w:r w:rsidR="00ED3E75" w:rsidRPr="006740A5">
        <w:t xml:space="preserve"> </w:t>
      </w:r>
      <w:r w:rsidR="000B79B9" w:rsidRPr="006740A5">
        <w:t>as required by</w:t>
      </w:r>
      <w:r w:rsidR="00ED3E75" w:rsidRPr="006740A5">
        <w:t xml:space="preserve"> </w:t>
      </w:r>
      <w:r w:rsidR="000B79B9" w:rsidRPr="006740A5">
        <w:t>UN CRPD A</w:t>
      </w:r>
      <w:r w:rsidR="00ED3E75" w:rsidRPr="006740A5">
        <w:t>rticle 19</w:t>
      </w:r>
      <w:r w:rsidR="006F45A9" w:rsidRPr="006740A5">
        <w:t xml:space="preserve">. </w:t>
      </w:r>
      <w:r w:rsidR="000B79B9" w:rsidRPr="006740A5">
        <w:t xml:space="preserve">It is three years now since the Czech Republic was advised to ‘step up the process of deinstitutionalization and to allocate sufficient resources for the development of support services in local communities’ with ‘a clear timeline and concrete benchmarks for implementation that are monitored effectively’ (see the UN recommendations in chapter 1.3.1 earlier).  </w:t>
      </w:r>
    </w:p>
    <w:p w14:paraId="5A93AF12" w14:textId="77777777" w:rsidR="000B79B9" w:rsidRPr="006740A5" w:rsidRDefault="000B79B9" w:rsidP="006740A5">
      <w:pPr>
        <w:jc w:val="both"/>
      </w:pPr>
    </w:p>
    <w:p w14:paraId="08F0A521" w14:textId="1A36A226" w:rsidR="00A50844" w:rsidRPr="006740A5" w:rsidRDefault="00FA23CB" w:rsidP="006740A5">
      <w:pPr>
        <w:jc w:val="both"/>
      </w:pPr>
      <w:r w:rsidRPr="006740A5">
        <w:t>A</w:t>
      </w:r>
      <w:r w:rsidR="00ED3E75" w:rsidRPr="006740A5">
        <w:t xml:space="preserve">ctivities </w:t>
      </w:r>
      <w:r w:rsidRPr="006740A5">
        <w:t xml:space="preserve">related to deinstitutionalisation </w:t>
      </w:r>
      <w:r w:rsidR="00ED3E75" w:rsidRPr="006740A5">
        <w:t>are largely subsidised by EU funds</w:t>
      </w:r>
      <w:r w:rsidR="00EC0903" w:rsidRPr="006740A5">
        <w:t xml:space="preserve"> with limited</w:t>
      </w:r>
      <w:r w:rsidR="000B79B9" w:rsidRPr="006740A5">
        <w:t xml:space="preserve"> progress</w:t>
      </w:r>
      <w:r w:rsidRPr="006740A5">
        <w:t>.</w:t>
      </w:r>
      <w:r w:rsidR="00ED3E75" w:rsidRPr="006740A5">
        <w:t xml:space="preserve"> </w:t>
      </w:r>
      <w:r w:rsidR="00EC0903" w:rsidRPr="006740A5">
        <w:t xml:space="preserve">EU resources </w:t>
      </w:r>
      <w:r w:rsidR="00086DAC" w:rsidRPr="006740A5">
        <w:t>contribute to</w:t>
      </w:r>
      <w:r w:rsidR="00EC0903" w:rsidRPr="006740A5">
        <w:t xml:space="preserve"> </w:t>
      </w:r>
      <w:r w:rsidR="000B79B9" w:rsidRPr="006740A5">
        <w:t xml:space="preserve">reform </w:t>
      </w:r>
      <w:r w:rsidR="00EC0903" w:rsidRPr="006740A5">
        <w:t xml:space="preserve">rather than systemic </w:t>
      </w:r>
      <w:r w:rsidR="000B79B9" w:rsidRPr="006740A5">
        <w:t xml:space="preserve">change </w:t>
      </w:r>
      <w:r w:rsidR="00EC0903" w:rsidRPr="006740A5">
        <w:t xml:space="preserve">measures at </w:t>
      </w:r>
      <w:r w:rsidR="000B79B9" w:rsidRPr="006740A5">
        <w:t xml:space="preserve">a </w:t>
      </w:r>
      <w:r w:rsidR="00EC0903" w:rsidRPr="006740A5">
        <w:t>national level.</w:t>
      </w:r>
      <w:r w:rsidR="000B79B9" w:rsidRPr="006740A5">
        <w:t xml:space="preserve"> </w:t>
      </w:r>
      <w:r w:rsidR="00086DAC" w:rsidRPr="006740A5">
        <w:t xml:space="preserve">The current scheme of financing social services is </w:t>
      </w:r>
      <w:r w:rsidR="0034784C" w:rsidRPr="006740A5">
        <w:t xml:space="preserve">reported as </w:t>
      </w:r>
      <w:r w:rsidR="000B79B9" w:rsidRPr="006740A5">
        <w:t>un</w:t>
      </w:r>
      <w:r w:rsidR="00086DAC" w:rsidRPr="006740A5">
        <w:t xml:space="preserve">sustainable in </w:t>
      </w:r>
      <w:r w:rsidR="000B79B9" w:rsidRPr="006740A5">
        <w:t xml:space="preserve">the </w:t>
      </w:r>
      <w:r w:rsidR="00086DAC" w:rsidRPr="006740A5">
        <w:t xml:space="preserve">long term. </w:t>
      </w:r>
      <w:r w:rsidR="000B79B9" w:rsidRPr="006740A5">
        <w:t>One third of s</w:t>
      </w:r>
      <w:r w:rsidR="00086DAC" w:rsidRPr="006740A5">
        <w:t xml:space="preserve">ocial services are funded by shorter term support grants. It </w:t>
      </w:r>
      <w:r w:rsidR="000B79B9" w:rsidRPr="006740A5">
        <w:t>is</w:t>
      </w:r>
      <w:r w:rsidR="00086DAC" w:rsidRPr="006740A5">
        <w:t xml:space="preserve"> imperative to prepare and implement a new </w:t>
      </w:r>
      <w:r w:rsidR="006740A5" w:rsidRPr="006740A5">
        <w:t>person-centred</w:t>
      </w:r>
      <w:r w:rsidR="00086DAC" w:rsidRPr="006740A5">
        <w:t xml:space="preserve"> financial scheme.</w:t>
      </w:r>
      <w:r w:rsidR="00086DAC" w:rsidRPr="006740A5">
        <w:rPr>
          <w:rStyle w:val="FootnoteReference"/>
        </w:rPr>
        <w:footnoteReference w:id="31"/>
      </w:r>
      <w:r w:rsidR="000B79B9" w:rsidRPr="006740A5">
        <w:t xml:space="preserve"> </w:t>
      </w:r>
      <w:r w:rsidRPr="006740A5">
        <w:t>National strategies related</w:t>
      </w:r>
      <w:r w:rsidR="00FE36E3" w:rsidRPr="006740A5">
        <w:t xml:space="preserve"> d</w:t>
      </w:r>
      <w:r w:rsidR="00A50844" w:rsidRPr="006740A5">
        <w:t xml:space="preserve">einstitutionalisation </w:t>
      </w:r>
      <w:r w:rsidR="00FE36E3" w:rsidRPr="006740A5">
        <w:t xml:space="preserve">are </w:t>
      </w:r>
      <w:r w:rsidR="00702D6C" w:rsidRPr="006740A5">
        <w:t>mainly</w:t>
      </w:r>
      <w:r w:rsidR="00FE36E3" w:rsidRPr="006740A5">
        <w:t xml:space="preserve"> oriented </w:t>
      </w:r>
      <w:r w:rsidR="000B79B9" w:rsidRPr="006740A5">
        <w:t xml:space="preserve">to younger adults </w:t>
      </w:r>
      <w:r w:rsidR="00A50844" w:rsidRPr="006740A5">
        <w:t>with di</w:t>
      </w:r>
      <w:r w:rsidR="00FE36E3" w:rsidRPr="006740A5">
        <w:t>sabili</w:t>
      </w:r>
      <w:r w:rsidRPr="006740A5">
        <w:t>ties</w:t>
      </w:r>
      <w:r w:rsidR="00A50844" w:rsidRPr="006740A5">
        <w:t xml:space="preserve"> and children. </w:t>
      </w:r>
      <w:r w:rsidR="00FE36E3" w:rsidRPr="006740A5">
        <w:t>T</w:t>
      </w:r>
      <w:r w:rsidR="00A50844" w:rsidRPr="006740A5">
        <w:t xml:space="preserve">hese processes should </w:t>
      </w:r>
      <w:r w:rsidR="00FE36E3" w:rsidRPr="006740A5">
        <w:t xml:space="preserve">be </w:t>
      </w:r>
      <w:r w:rsidR="00A50844" w:rsidRPr="006740A5">
        <w:t>target</w:t>
      </w:r>
      <w:r w:rsidR="00FE36E3" w:rsidRPr="006740A5">
        <w:t xml:space="preserve">ed </w:t>
      </w:r>
      <w:r w:rsidR="000B79B9" w:rsidRPr="006740A5">
        <w:t xml:space="preserve">also </w:t>
      </w:r>
      <w:r w:rsidR="00EC0903" w:rsidRPr="006740A5">
        <w:t>at</w:t>
      </w:r>
      <w:r w:rsidR="00A50844" w:rsidRPr="006740A5">
        <w:t xml:space="preserve"> other groups that are heavily affected by institutiona</w:t>
      </w:r>
      <w:r w:rsidR="0068615E" w:rsidRPr="006740A5">
        <w:t xml:space="preserve">l care, especially the elderly. </w:t>
      </w:r>
    </w:p>
    <w:p w14:paraId="5647F2D5" w14:textId="33BF05CD" w:rsidR="00FE36E3" w:rsidRPr="006740A5" w:rsidRDefault="00FE36E3" w:rsidP="006740A5">
      <w:pPr>
        <w:jc w:val="both"/>
      </w:pPr>
    </w:p>
    <w:p w14:paraId="674C0FE6" w14:textId="6C6FE33E" w:rsidR="005A5B63" w:rsidRPr="006740A5" w:rsidRDefault="005A5B63" w:rsidP="006740A5">
      <w:pPr>
        <w:jc w:val="both"/>
        <w:rPr>
          <w:shd w:val="clear" w:color="auto" w:fill="FFFFFF"/>
        </w:rPr>
      </w:pPr>
      <w:r w:rsidRPr="006740A5">
        <w:rPr>
          <w:shd w:val="clear" w:color="auto" w:fill="FFFFFF"/>
        </w:rPr>
        <w:t xml:space="preserve">As reported earlier, </w:t>
      </w:r>
      <w:r w:rsidR="000B79B9" w:rsidRPr="006740A5">
        <w:rPr>
          <w:shd w:val="clear" w:color="auto" w:fill="FFFFFF"/>
        </w:rPr>
        <w:t xml:space="preserve">the </w:t>
      </w:r>
      <w:r w:rsidRPr="006740A5">
        <w:rPr>
          <w:shd w:val="clear" w:color="auto" w:fill="FFFFFF"/>
        </w:rPr>
        <w:t xml:space="preserve">situation of persons with long term mental health </w:t>
      </w:r>
      <w:r w:rsidR="000B79B9" w:rsidRPr="006740A5">
        <w:rPr>
          <w:shd w:val="clear" w:color="auto" w:fill="FFFFFF"/>
        </w:rPr>
        <w:t xml:space="preserve">conditions </w:t>
      </w:r>
      <w:r w:rsidRPr="006740A5">
        <w:rPr>
          <w:shd w:val="clear" w:color="auto" w:fill="FFFFFF"/>
        </w:rPr>
        <w:t xml:space="preserve">is not satisfactory in the Czech Republic. </w:t>
      </w:r>
      <w:proofErr w:type="gramStart"/>
      <w:r w:rsidR="000B79B9" w:rsidRPr="006740A5">
        <w:rPr>
          <w:shd w:val="clear" w:color="auto" w:fill="FFFFFF"/>
        </w:rPr>
        <w:t>A n</w:t>
      </w:r>
      <w:r w:rsidR="00D760EE" w:rsidRPr="006740A5">
        <w:rPr>
          <w:shd w:val="clear" w:color="auto" w:fill="FFFFFF"/>
        </w:rPr>
        <w:t>umber of</w:t>
      </w:r>
      <w:proofErr w:type="gramEnd"/>
      <w:r w:rsidR="00D760EE" w:rsidRPr="006740A5">
        <w:rPr>
          <w:shd w:val="clear" w:color="auto" w:fill="FFFFFF"/>
        </w:rPr>
        <w:t xml:space="preserve"> </w:t>
      </w:r>
      <w:r w:rsidR="00426BBC" w:rsidRPr="006740A5">
        <w:rPr>
          <w:shd w:val="clear" w:color="auto" w:fill="FFFFFF"/>
        </w:rPr>
        <w:t>reform</w:t>
      </w:r>
      <w:r w:rsidR="000B79B9" w:rsidRPr="006740A5">
        <w:rPr>
          <w:shd w:val="clear" w:color="auto" w:fill="FFFFFF"/>
        </w:rPr>
        <w:t xml:space="preserve"> measures</w:t>
      </w:r>
      <w:r w:rsidRPr="006740A5">
        <w:rPr>
          <w:shd w:val="clear" w:color="auto" w:fill="FFFFFF"/>
        </w:rPr>
        <w:t xml:space="preserve"> are supported from E</w:t>
      </w:r>
      <w:r w:rsidR="00EC0903" w:rsidRPr="006740A5">
        <w:rPr>
          <w:shd w:val="clear" w:color="auto" w:fill="FFFFFF"/>
        </w:rPr>
        <w:t>U</w:t>
      </w:r>
      <w:r w:rsidRPr="006740A5">
        <w:rPr>
          <w:shd w:val="clear" w:color="auto" w:fill="FFFFFF"/>
        </w:rPr>
        <w:t xml:space="preserve"> funds </w:t>
      </w:r>
      <w:r w:rsidR="000B79B9" w:rsidRPr="006740A5">
        <w:rPr>
          <w:shd w:val="clear" w:color="auto" w:fill="FFFFFF"/>
        </w:rPr>
        <w:t xml:space="preserve">with the </w:t>
      </w:r>
      <w:r w:rsidRPr="006740A5">
        <w:rPr>
          <w:shd w:val="clear" w:color="auto" w:fill="FFFFFF"/>
        </w:rPr>
        <w:t>aim to introduc</w:t>
      </w:r>
      <w:r w:rsidR="00D10005" w:rsidRPr="006740A5">
        <w:rPr>
          <w:shd w:val="clear" w:color="auto" w:fill="FFFFFF"/>
        </w:rPr>
        <w:t xml:space="preserve">e </w:t>
      </w:r>
      <w:r w:rsidR="000B79B9" w:rsidRPr="006740A5">
        <w:rPr>
          <w:shd w:val="clear" w:color="auto" w:fill="FFFFFF"/>
        </w:rPr>
        <w:t xml:space="preserve">a </w:t>
      </w:r>
      <w:r w:rsidR="00D10005" w:rsidRPr="006740A5">
        <w:rPr>
          <w:shd w:val="clear" w:color="auto" w:fill="FFFFFF"/>
        </w:rPr>
        <w:t xml:space="preserve">multidisciplinary approach, </w:t>
      </w:r>
      <w:r w:rsidRPr="006740A5">
        <w:rPr>
          <w:bCs/>
          <w:lang w:eastAsia="cs-CZ"/>
        </w:rPr>
        <w:t xml:space="preserve">to transfer the </w:t>
      </w:r>
      <w:r w:rsidR="00D10005" w:rsidRPr="006740A5">
        <w:rPr>
          <w:bCs/>
          <w:lang w:eastAsia="cs-CZ"/>
        </w:rPr>
        <w:t xml:space="preserve">mental health care </w:t>
      </w:r>
      <w:r w:rsidRPr="006740A5">
        <w:rPr>
          <w:bCs/>
          <w:lang w:eastAsia="cs-CZ"/>
        </w:rPr>
        <w:t xml:space="preserve">provided predominantly in psychiatric hospitals to a community-based model, to generate and strengthen regional care networks, to articulate new ways of funding scheme, and to define quality of </w:t>
      </w:r>
      <w:r w:rsidR="00D10005" w:rsidRPr="006740A5">
        <w:rPr>
          <w:bCs/>
          <w:lang w:eastAsia="cs-CZ"/>
        </w:rPr>
        <w:t xml:space="preserve">mental </w:t>
      </w:r>
      <w:r w:rsidRPr="006740A5">
        <w:rPr>
          <w:bCs/>
          <w:lang w:eastAsia="cs-CZ"/>
        </w:rPr>
        <w:t>health care.</w:t>
      </w:r>
      <w:r w:rsidRPr="006740A5">
        <w:rPr>
          <w:shd w:val="clear" w:color="auto" w:fill="FFFFFF"/>
        </w:rPr>
        <w:t xml:space="preserve"> Despite some progress</w:t>
      </w:r>
      <w:r w:rsidR="00426BBC" w:rsidRPr="006740A5">
        <w:rPr>
          <w:shd w:val="clear" w:color="auto" w:fill="FFFFFF"/>
        </w:rPr>
        <w:t>,</w:t>
      </w:r>
      <w:r w:rsidRPr="006740A5">
        <w:rPr>
          <w:shd w:val="clear" w:color="auto" w:fill="FFFFFF"/>
        </w:rPr>
        <w:t xml:space="preserve"> the psychiatric reform programme fails to achieve significant </w:t>
      </w:r>
      <w:r w:rsidR="00E61EE0" w:rsidRPr="006740A5">
        <w:rPr>
          <w:shd w:val="clear" w:color="auto" w:fill="FFFFFF"/>
        </w:rPr>
        <w:t>outcomes</w:t>
      </w:r>
      <w:r w:rsidRPr="006740A5">
        <w:rPr>
          <w:shd w:val="clear" w:color="auto" w:fill="FFFFFF"/>
        </w:rPr>
        <w:t xml:space="preserve">. </w:t>
      </w:r>
    </w:p>
    <w:p w14:paraId="03E42055" w14:textId="77777777" w:rsidR="0091665C" w:rsidRPr="006740A5" w:rsidRDefault="0091665C" w:rsidP="006740A5">
      <w:pPr>
        <w:jc w:val="both"/>
        <w:rPr>
          <w:shd w:val="clear" w:color="auto" w:fill="FFFFFF"/>
        </w:rPr>
      </w:pPr>
    </w:p>
    <w:p w14:paraId="356922D3" w14:textId="77777777" w:rsidR="0091665C" w:rsidRPr="006740A5" w:rsidRDefault="0091665C" w:rsidP="006740A5">
      <w:pPr>
        <w:jc w:val="both"/>
        <w:rPr>
          <w:b/>
          <w:bCs/>
          <w:lang w:eastAsia="cs-CZ"/>
        </w:rPr>
      </w:pPr>
      <w:r w:rsidRPr="006740A5">
        <w:rPr>
          <w:b/>
          <w:bCs/>
          <w:lang w:eastAsia="cs-CZ"/>
        </w:rPr>
        <w:lastRenderedPageBreak/>
        <w:t>Joined-up working</w:t>
      </w:r>
    </w:p>
    <w:p w14:paraId="0BF537AE" w14:textId="7A219DA6" w:rsidR="00620B77" w:rsidRPr="006740A5" w:rsidRDefault="000B79B9" w:rsidP="006740A5">
      <w:pPr>
        <w:jc w:val="both"/>
        <w:rPr>
          <w:lang w:eastAsia="cs-CZ"/>
        </w:rPr>
      </w:pPr>
      <w:r w:rsidRPr="006740A5">
        <w:rPr>
          <w:lang w:eastAsia="cs-CZ"/>
        </w:rPr>
        <w:t>T</w:t>
      </w:r>
      <w:r w:rsidR="007E2F8F" w:rsidRPr="006740A5">
        <w:rPr>
          <w:lang w:eastAsia="cs-CZ"/>
        </w:rPr>
        <w:t>here is a long-</w:t>
      </w:r>
      <w:r w:rsidRPr="006740A5">
        <w:rPr>
          <w:lang w:eastAsia="cs-CZ"/>
        </w:rPr>
        <w:t xml:space="preserve">standing </w:t>
      </w:r>
      <w:r w:rsidR="007E2F8F" w:rsidRPr="006740A5">
        <w:rPr>
          <w:lang w:eastAsia="cs-CZ"/>
        </w:rPr>
        <w:t xml:space="preserve">problem </w:t>
      </w:r>
      <w:r w:rsidRPr="006740A5">
        <w:rPr>
          <w:lang w:eastAsia="cs-CZ"/>
        </w:rPr>
        <w:t xml:space="preserve">for </w:t>
      </w:r>
      <w:r w:rsidR="007E2F8F" w:rsidRPr="006740A5">
        <w:rPr>
          <w:lang w:eastAsia="cs-CZ"/>
        </w:rPr>
        <w:t xml:space="preserve">people who need both health and social services simultaneously. </w:t>
      </w:r>
      <w:r w:rsidRPr="006740A5">
        <w:rPr>
          <w:lang w:eastAsia="cs-CZ"/>
        </w:rPr>
        <w:t xml:space="preserve">These </w:t>
      </w:r>
      <w:r w:rsidR="0065737D" w:rsidRPr="006740A5">
        <w:rPr>
          <w:lang w:eastAsia="cs-CZ"/>
        </w:rPr>
        <w:t xml:space="preserve">systems </w:t>
      </w:r>
      <w:r w:rsidR="007E2F8F" w:rsidRPr="006740A5">
        <w:rPr>
          <w:lang w:eastAsia="cs-CZ"/>
        </w:rPr>
        <w:t xml:space="preserve">are </w:t>
      </w:r>
      <w:r w:rsidRPr="006740A5">
        <w:rPr>
          <w:lang w:eastAsia="cs-CZ"/>
        </w:rPr>
        <w:t>in</w:t>
      </w:r>
      <w:r w:rsidR="007E2F8F" w:rsidRPr="006740A5">
        <w:rPr>
          <w:lang w:eastAsia="cs-CZ"/>
        </w:rPr>
        <w:t xml:space="preserve">sufficiently interconnected. </w:t>
      </w:r>
      <w:r w:rsidR="00426BBC" w:rsidRPr="006740A5">
        <w:rPr>
          <w:lang w:eastAsia="cs-CZ"/>
        </w:rPr>
        <w:t>The situation</w:t>
      </w:r>
      <w:r w:rsidR="007E2F8F" w:rsidRPr="006740A5">
        <w:rPr>
          <w:lang w:eastAsia="cs-CZ"/>
        </w:rPr>
        <w:t xml:space="preserve"> is</w:t>
      </w:r>
      <w:r w:rsidRPr="006740A5">
        <w:rPr>
          <w:lang w:eastAsia="cs-CZ"/>
        </w:rPr>
        <w:t>,</w:t>
      </w:r>
      <w:r w:rsidR="007E2F8F" w:rsidRPr="006740A5">
        <w:rPr>
          <w:lang w:eastAsia="cs-CZ"/>
        </w:rPr>
        <w:t xml:space="preserve"> by </w:t>
      </w:r>
      <w:r w:rsidRPr="006740A5">
        <w:rPr>
          <w:lang w:eastAsia="cs-CZ"/>
        </w:rPr>
        <w:t xml:space="preserve">and </w:t>
      </w:r>
      <w:r w:rsidR="007E2F8F" w:rsidRPr="006740A5">
        <w:rPr>
          <w:lang w:eastAsia="cs-CZ"/>
        </w:rPr>
        <w:t>large</w:t>
      </w:r>
      <w:r w:rsidRPr="006740A5">
        <w:rPr>
          <w:lang w:eastAsia="cs-CZ"/>
        </w:rPr>
        <w:t>,</w:t>
      </w:r>
      <w:r w:rsidR="007E2F8F" w:rsidRPr="006740A5">
        <w:rPr>
          <w:lang w:eastAsia="cs-CZ"/>
        </w:rPr>
        <w:t xml:space="preserve"> </w:t>
      </w:r>
      <w:r w:rsidR="00852A45" w:rsidRPr="006740A5">
        <w:rPr>
          <w:lang w:eastAsia="cs-CZ"/>
        </w:rPr>
        <w:t xml:space="preserve">caused </w:t>
      </w:r>
      <w:r w:rsidR="007E2F8F" w:rsidRPr="006740A5">
        <w:rPr>
          <w:lang w:eastAsia="cs-CZ"/>
        </w:rPr>
        <w:t xml:space="preserve">by ambiguous legislation </w:t>
      </w:r>
      <w:r w:rsidR="00852A45" w:rsidRPr="006740A5">
        <w:rPr>
          <w:lang w:eastAsia="cs-CZ"/>
        </w:rPr>
        <w:t xml:space="preserve">that insufficiently defines </w:t>
      </w:r>
      <w:r w:rsidRPr="006740A5">
        <w:rPr>
          <w:lang w:eastAsia="cs-CZ"/>
        </w:rPr>
        <w:t xml:space="preserve">the </w:t>
      </w:r>
      <w:r w:rsidR="0065737D" w:rsidRPr="006740A5">
        <w:rPr>
          <w:lang w:eastAsia="cs-CZ"/>
        </w:rPr>
        <w:t>competences of both sectors</w:t>
      </w:r>
      <w:r w:rsidR="00D10005" w:rsidRPr="006740A5">
        <w:rPr>
          <w:lang w:eastAsia="cs-CZ"/>
        </w:rPr>
        <w:t xml:space="preserve">. </w:t>
      </w:r>
      <w:r w:rsidR="00086DAC" w:rsidRPr="006740A5">
        <w:rPr>
          <w:lang w:eastAsia="cs-CZ"/>
        </w:rPr>
        <w:t xml:space="preserve">In addition, distinct </w:t>
      </w:r>
      <w:r w:rsidR="00BA3ED5" w:rsidRPr="006740A5">
        <w:t xml:space="preserve">financial </w:t>
      </w:r>
      <w:r w:rsidR="007E2F8F" w:rsidRPr="006740A5">
        <w:t>scheme</w:t>
      </w:r>
      <w:r w:rsidR="00620B77" w:rsidRPr="006740A5">
        <w:t>s</w:t>
      </w:r>
      <w:r w:rsidR="007E2F8F" w:rsidRPr="006740A5">
        <w:t xml:space="preserve"> </w:t>
      </w:r>
      <w:r w:rsidRPr="006740A5">
        <w:t>for</w:t>
      </w:r>
      <w:r w:rsidR="00BA3ED5" w:rsidRPr="006740A5">
        <w:t xml:space="preserve"> </w:t>
      </w:r>
      <w:r w:rsidR="007E2F8F" w:rsidRPr="006740A5">
        <w:t xml:space="preserve">health and social care </w:t>
      </w:r>
      <w:r w:rsidR="00620B77" w:rsidRPr="006740A5">
        <w:t>distort</w:t>
      </w:r>
      <w:r w:rsidR="00BA3ED5" w:rsidRPr="006740A5">
        <w:t xml:space="preserve"> the long-term care system</w:t>
      </w:r>
      <w:r w:rsidR="007E2F8F" w:rsidRPr="006740A5">
        <w:t xml:space="preserve">. While </w:t>
      </w:r>
      <w:r w:rsidR="00BA3ED5" w:rsidRPr="006740A5">
        <w:t xml:space="preserve">the </w:t>
      </w:r>
      <w:r w:rsidR="007E2F8F" w:rsidRPr="006740A5">
        <w:t>socia</w:t>
      </w:r>
      <w:r w:rsidR="0065737D" w:rsidRPr="006740A5">
        <w:t>l service facilities are funded from</w:t>
      </w:r>
      <w:r w:rsidR="007E2F8F" w:rsidRPr="006740A5">
        <w:t xml:space="preserve"> the state budget</w:t>
      </w:r>
      <w:r w:rsidR="0091665C" w:rsidRPr="006740A5">
        <w:t xml:space="preserve"> (</w:t>
      </w:r>
      <w:r w:rsidR="007E2F8F" w:rsidRPr="006740A5">
        <w:t>regional, general budget</w:t>
      </w:r>
      <w:r w:rsidR="0091665C" w:rsidRPr="006740A5">
        <w:t>,</w:t>
      </w:r>
      <w:r w:rsidR="007E2F8F" w:rsidRPr="006740A5">
        <w:t xml:space="preserve"> and client</w:t>
      </w:r>
      <w:r w:rsidR="0091665C" w:rsidRPr="006740A5">
        <w:t xml:space="preserve"> contributions from for </w:t>
      </w:r>
      <w:r w:rsidR="007E2F8F" w:rsidRPr="006740A5">
        <w:t xml:space="preserve">care allowance, part of the invalidity or old-age pension), the health care facilities are financed </w:t>
      </w:r>
      <w:r w:rsidR="00620B77" w:rsidRPr="006740A5">
        <w:t>from</w:t>
      </w:r>
      <w:r w:rsidR="007E2F8F" w:rsidRPr="006740A5">
        <w:t xml:space="preserve"> </w:t>
      </w:r>
      <w:r w:rsidR="00852A45" w:rsidRPr="006740A5">
        <w:t xml:space="preserve">the </w:t>
      </w:r>
      <w:r w:rsidR="00BA3ED5" w:rsidRPr="006740A5">
        <w:t xml:space="preserve">public </w:t>
      </w:r>
      <w:r w:rsidR="007E2F8F" w:rsidRPr="006740A5">
        <w:t xml:space="preserve">health insurance. The placement </w:t>
      </w:r>
      <w:r w:rsidR="00620B77" w:rsidRPr="006740A5">
        <w:t xml:space="preserve">of </w:t>
      </w:r>
      <w:r w:rsidR="0091665C" w:rsidRPr="006740A5">
        <w:t xml:space="preserve">a </w:t>
      </w:r>
      <w:r w:rsidR="00620B77" w:rsidRPr="006740A5">
        <w:t xml:space="preserve">disabled </w:t>
      </w:r>
      <w:r w:rsidR="007E2F8F" w:rsidRPr="006740A5">
        <w:t xml:space="preserve">person in </w:t>
      </w:r>
      <w:r w:rsidR="0091665C" w:rsidRPr="006740A5">
        <w:t xml:space="preserve">a </w:t>
      </w:r>
      <w:r w:rsidR="007E2F8F" w:rsidRPr="006740A5">
        <w:t xml:space="preserve">social care residence facility requires a significantly higher financial </w:t>
      </w:r>
      <w:r w:rsidR="00620B77" w:rsidRPr="006740A5">
        <w:t xml:space="preserve">contribution </w:t>
      </w:r>
      <w:r w:rsidR="0091665C" w:rsidRPr="006740A5">
        <w:t xml:space="preserve">from </w:t>
      </w:r>
      <w:r w:rsidR="00620B77" w:rsidRPr="006740A5">
        <w:t>the client, and/or his or her family. W</w:t>
      </w:r>
      <w:r w:rsidR="007E2F8F" w:rsidRPr="006740A5">
        <w:t>hile hospitaliza</w:t>
      </w:r>
      <w:r w:rsidR="00620B77" w:rsidRPr="006740A5">
        <w:t>tion in a health</w:t>
      </w:r>
      <w:r w:rsidR="0091665C" w:rsidRPr="006740A5">
        <w:t xml:space="preserve"> </w:t>
      </w:r>
      <w:r w:rsidR="00620B77" w:rsidRPr="006740A5">
        <w:t xml:space="preserve">care facility </w:t>
      </w:r>
      <w:r w:rsidR="00852A45" w:rsidRPr="006740A5">
        <w:t xml:space="preserve">is </w:t>
      </w:r>
      <w:r w:rsidR="007E2F8F" w:rsidRPr="006740A5">
        <w:t>without direct reimbursement</w:t>
      </w:r>
      <w:r w:rsidR="00620B77" w:rsidRPr="006740A5">
        <w:t xml:space="preserve"> and hence much cheaper for the client and the family</w:t>
      </w:r>
      <w:r w:rsidR="007E2F8F" w:rsidRPr="006740A5">
        <w:t xml:space="preserve">. </w:t>
      </w:r>
      <w:r w:rsidR="0091665C" w:rsidRPr="006740A5">
        <w:t>This means that</w:t>
      </w:r>
      <w:r w:rsidR="00852A45" w:rsidRPr="006740A5">
        <w:t xml:space="preserve"> a</w:t>
      </w:r>
      <w:r w:rsidR="00426BBC" w:rsidRPr="006740A5">
        <w:t xml:space="preserve"> </w:t>
      </w:r>
      <w:r w:rsidR="007E2F8F" w:rsidRPr="006740A5">
        <w:t xml:space="preserve">person </w:t>
      </w:r>
      <w:r w:rsidR="00426BBC" w:rsidRPr="006740A5">
        <w:t xml:space="preserve">with low income </w:t>
      </w:r>
      <w:r w:rsidR="00086DAC" w:rsidRPr="006740A5">
        <w:t xml:space="preserve">it </w:t>
      </w:r>
      <w:r w:rsidR="0091665C" w:rsidRPr="006740A5">
        <w:t>is less</w:t>
      </w:r>
      <w:r w:rsidR="00620B77" w:rsidRPr="006740A5">
        <w:t xml:space="preserve"> costly to stay in a health </w:t>
      </w:r>
      <w:r w:rsidR="0065737D" w:rsidRPr="006740A5">
        <w:t xml:space="preserve">care </w:t>
      </w:r>
      <w:r w:rsidR="00620B77" w:rsidRPr="006740A5">
        <w:t xml:space="preserve">facility </w:t>
      </w:r>
      <w:r w:rsidR="0091665C" w:rsidRPr="006740A5">
        <w:t xml:space="preserve">for </w:t>
      </w:r>
      <w:r w:rsidR="00620B77" w:rsidRPr="006740A5">
        <w:t>as long as possible</w:t>
      </w:r>
      <w:r w:rsidR="007E2F8F" w:rsidRPr="006740A5">
        <w:t>.</w:t>
      </w:r>
      <w:r w:rsidR="00BA3ED5" w:rsidRPr="006740A5">
        <w:rPr>
          <w:lang w:eastAsia="cs-CZ"/>
        </w:rPr>
        <w:t xml:space="preserve"> </w:t>
      </w:r>
      <w:r w:rsidR="00AC3201" w:rsidRPr="006740A5">
        <w:t>L</w:t>
      </w:r>
      <w:r w:rsidR="00852A45" w:rsidRPr="006740A5">
        <w:t xml:space="preserve">egislative measures </w:t>
      </w:r>
      <w:r w:rsidR="00BA3ED5" w:rsidRPr="006740A5">
        <w:t>need</w:t>
      </w:r>
      <w:r w:rsidR="00AC3201" w:rsidRPr="006740A5">
        <w:t xml:space="preserve"> </w:t>
      </w:r>
      <w:r w:rsidR="00852A45" w:rsidRPr="006740A5">
        <w:t xml:space="preserve">to </w:t>
      </w:r>
      <w:r w:rsidR="00AC3201" w:rsidRPr="006740A5">
        <w:t xml:space="preserve">be prepared to </w:t>
      </w:r>
      <w:r w:rsidR="00620B77" w:rsidRPr="006740A5">
        <w:t xml:space="preserve">regulate the provision of health and social services, </w:t>
      </w:r>
      <w:r w:rsidR="00852A45" w:rsidRPr="006740A5">
        <w:t xml:space="preserve">and to </w:t>
      </w:r>
      <w:r w:rsidR="00620B77" w:rsidRPr="006740A5">
        <w:t>ensure adequate ma</w:t>
      </w:r>
      <w:r w:rsidR="00852A45" w:rsidRPr="006740A5">
        <w:t>terial and technical standards, staffing, quality</w:t>
      </w:r>
      <w:r w:rsidR="00620B77" w:rsidRPr="006740A5">
        <w:t xml:space="preserve"> of care</w:t>
      </w:r>
      <w:r w:rsidR="00852A45" w:rsidRPr="006740A5">
        <w:t>,</w:t>
      </w:r>
      <w:r w:rsidR="00620B77" w:rsidRPr="006740A5">
        <w:t xml:space="preserve"> and transparent financing.</w:t>
      </w:r>
    </w:p>
    <w:p w14:paraId="329B05ED" w14:textId="77777777" w:rsidR="006512A2" w:rsidRPr="006740A5" w:rsidRDefault="006512A2" w:rsidP="006740A5">
      <w:pPr>
        <w:jc w:val="both"/>
      </w:pPr>
    </w:p>
    <w:p w14:paraId="01225DE0" w14:textId="5EB8AD87" w:rsidR="006512A2" w:rsidRPr="006740A5" w:rsidRDefault="006512A2" w:rsidP="006740A5">
      <w:pPr>
        <w:jc w:val="both"/>
        <w:rPr>
          <w:b/>
          <w:bCs/>
        </w:rPr>
      </w:pPr>
      <w:r w:rsidRPr="006740A5">
        <w:rPr>
          <w:b/>
          <w:bCs/>
        </w:rPr>
        <w:t>Social housing reform</w:t>
      </w:r>
    </w:p>
    <w:p w14:paraId="39AAB69B" w14:textId="3CF754C9" w:rsidR="00895667" w:rsidRPr="006740A5" w:rsidRDefault="00801EE0" w:rsidP="006740A5">
      <w:pPr>
        <w:jc w:val="both"/>
      </w:pPr>
      <w:r w:rsidRPr="006740A5">
        <w:t xml:space="preserve">The </w:t>
      </w:r>
      <w:r w:rsidR="00702D6C" w:rsidRPr="006740A5">
        <w:t xml:space="preserve">Disability Plan </w:t>
      </w:r>
      <w:r w:rsidRPr="006740A5">
        <w:t>2015-2020</w:t>
      </w:r>
      <w:r w:rsidR="00BA3ED5" w:rsidRPr="006740A5">
        <w:t xml:space="preserve"> </w:t>
      </w:r>
      <w:r w:rsidR="00702D6C" w:rsidRPr="006740A5">
        <w:t xml:space="preserve">refers to adequate housing as a precondition of independent and self-determined life </w:t>
      </w:r>
      <w:r w:rsidR="0091665C" w:rsidRPr="006740A5">
        <w:t xml:space="preserve">for </w:t>
      </w:r>
      <w:r w:rsidR="00702D6C" w:rsidRPr="006740A5">
        <w:t xml:space="preserve">persons with disabilities. </w:t>
      </w:r>
      <w:r w:rsidRPr="006740A5">
        <w:t xml:space="preserve">Disabled people often </w:t>
      </w:r>
      <w:r w:rsidR="0091665C" w:rsidRPr="006740A5">
        <w:t>have an</w:t>
      </w:r>
      <w:r w:rsidRPr="006740A5">
        <w:t xml:space="preserve"> income far lower than average and </w:t>
      </w:r>
      <w:r w:rsidR="0091665C" w:rsidRPr="006740A5">
        <w:t>are more likely to</w:t>
      </w:r>
      <w:r w:rsidR="00BA3ED5" w:rsidRPr="006740A5">
        <w:t xml:space="preserve"> appear</w:t>
      </w:r>
      <w:r w:rsidR="0065737D" w:rsidRPr="006740A5">
        <w:t xml:space="preserve"> </w:t>
      </w:r>
      <w:r w:rsidR="00BA3ED5" w:rsidRPr="006740A5">
        <w:t>in need of</w:t>
      </w:r>
      <w:r w:rsidRPr="006740A5">
        <w:t xml:space="preserve"> </w:t>
      </w:r>
      <w:r w:rsidR="0065737D" w:rsidRPr="006740A5">
        <w:t>social</w:t>
      </w:r>
      <w:r w:rsidRPr="006740A5">
        <w:t xml:space="preserve"> housing</w:t>
      </w:r>
      <w:r w:rsidR="0091665C" w:rsidRPr="006740A5">
        <w:t>.</w:t>
      </w:r>
      <w:r w:rsidR="00BA3ED5" w:rsidRPr="006740A5">
        <w:rPr>
          <w:rStyle w:val="FootnoteReference"/>
        </w:rPr>
        <w:footnoteReference w:id="32"/>
      </w:r>
      <w:r w:rsidRPr="006740A5">
        <w:t xml:space="preserve"> </w:t>
      </w:r>
      <w:r w:rsidR="00086DAC" w:rsidRPr="006740A5">
        <w:t>In 2017 t</w:t>
      </w:r>
      <w:r w:rsidR="0065737D" w:rsidRPr="006740A5">
        <w:t xml:space="preserve">he Parliament failed to approve the bill </w:t>
      </w:r>
      <w:r w:rsidR="0091665C" w:rsidRPr="006740A5">
        <w:t>for an</w:t>
      </w:r>
      <w:r w:rsidR="0065737D" w:rsidRPr="006740A5">
        <w:t xml:space="preserve"> Act on Social Housing. The revised bill is expected to be re-submitted by the Ministry of Regional Development in 2019. </w:t>
      </w:r>
      <w:r w:rsidRPr="006740A5">
        <w:t xml:space="preserve">It is predicted that persons </w:t>
      </w:r>
      <w:r w:rsidR="0091665C" w:rsidRPr="006740A5">
        <w:t xml:space="preserve">eligible </w:t>
      </w:r>
      <w:r w:rsidRPr="006740A5">
        <w:t xml:space="preserve">for social housing will be those </w:t>
      </w:r>
      <w:r w:rsidR="009778E3" w:rsidRPr="006740A5">
        <w:t xml:space="preserve">who spend more than 40% of their income on housing, and </w:t>
      </w:r>
      <w:r w:rsidR="0091665C" w:rsidRPr="006740A5">
        <w:t xml:space="preserve">whose </w:t>
      </w:r>
      <w:r w:rsidR="009778E3" w:rsidRPr="006740A5">
        <w:t>income does not exceed 1.6 times the subsistence level.</w:t>
      </w:r>
      <w:r w:rsidRPr="006740A5">
        <w:rPr>
          <w:rStyle w:val="FootnoteReference"/>
        </w:rPr>
        <w:footnoteReference w:id="33"/>
      </w:r>
      <w:r w:rsidR="009778E3" w:rsidRPr="006740A5">
        <w:t xml:space="preserve"> These </w:t>
      </w:r>
      <w:r w:rsidR="0091665C" w:rsidRPr="006740A5">
        <w:t xml:space="preserve">are highly likely to include </w:t>
      </w:r>
      <w:r w:rsidR="009778E3" w:rsidRPr="006740A5">
        <w:t>families with children, disabled people or the elderly, as well as people living in facilities for homeless</w:t>
      </w:r>
      <w:r w:rsidR="0091665C" w:rsidRPr="006740A5">
        <w:t xml:space="preserve"> persons</w:t>
      </w:r>
      <w:r w:rsidR="009778E3" w:rsidRPr="006740A5">
        <w:t>.</w:t>
      </w:r>
      <w:r w:rsidR="00702D6C" w:rsidRPr="006740A5">
        <w:t xml:space="preserve"> </w:t>
      </w:r>
      <w:r w:rsidR="006512A2" w:rsidRPr="006740A5">
        <w:t>It is vital the disability equality, and deinstitutionalisation strategy, is recognized and responded to positively in these reforms.</w:t>
      </w:r>
    </w:p>
    <w:p w14:paraId="67457083" w14:textId="77777777" w:rsidR="005D23F3" w:rsidRPr="005D23F3" w:rsidRDefault="005D23F3" w:rsidP="006740A5">
      <w:pPr>
        <w:pStyle w:val="Heading1"/>
        <w:jc w:val="both"/>
      </w:pPr>
      <w:bookmarkStart w:id="13" w:name="_Toc528662151"/>
      <w:r w:rsidRPr="005D23F3">
        <w:lastRenderedPageBreak/>
        <w:t>Opportunities to mainstream disability equality in the European Semester review documents</w:t>
      </w:r>
      <w:bookmarkEnd w:id="13"/>
    </w:p>
    <w:p w14:paraId="245A0729" w14:textId="5D15D5E9" w:rsidR="005D23F3" w:rsidRDefault="005D23F3" w:rsidP="006740A5">
      <w:pPr>
        <w:jc w:val="both"/>
      </w:pPr>
    </w:p>
    <w:p w14:paraId="2D5378BB" w14:textId="09C6B520" w:rsidR="00893260" w:rsidRDefault="00893260" w:rsidP="006740A5">
      <w:pPr>
        <w:jc w:val="both"/>
      </w:pPr>
      <w:r>
        <w:t xml:space="preserve">The 2018 CSR refers directly to disability issues and needs to be followed up in 2019. This draws attention to the clear potential to increase the labour market participation of disabled people, whose employment rate is below the EU average (as shown earlier in chapter 2 and annex). It recommends that the Czech Republic act to foster </w:t>
      </w:r>
      <w:r w:rsidRPr="00893260">
        <w:t xml:space="preserve">the employment of disabled people, </w:t>
      </w:r>
      <w:r>
        <w:t>‘</w:t>
      </w:r>
      <w:r w:rsidRPr="00893260">
        <w:t xml:space="preserve">including by improving the effectiveness of active labour market </w:t>
      </w:r>
      <w:proofErr w:type="gramStart"/>
      <w:r w:rsidRPr="00893260">
        <w:t>policies</w:t>
      </w:r>
      <w:r>
        <w:t>’</w:t>
      </w:r>
      <w:proofErr w:type="gramEnd"/>
      <w:r w:rsidRPr="00893260">
        <w:t>.</w:t>
      </w:r>
      <w:r>
        <w:t xml:space="preserve"> This requires a thorough analysis of shortcomings in the existing policies and investment in suitable alternatives. </w:t>
      </w:r>
    </w:p>
    <w:p w14:paraId="764B5647" w14:textId="77777777" w:rsidR="00893260" w:rsidRDefault="00893260" w:rsidP="006740A5">
      <w:pPr>
        <w:jc w:val="both"/>
      </w:pPr>
    </w:p>
    <w:p w14:paraId="02B9C1A0" w14:textId="05C9EC96" w:rsidR="009C77B7" w:rsidRDefault="00376CC4" w:rsidP="006740A5">
      <w:pPr>
        <w:jc w:val="both"/>
      </w:pPr>
      <w:r w:rsidRPr="002A548F">
        <w:t>The 201</w:t>
      </w:r>
      <w:r w:rsidR="00893260">
        <w:t>8</w:t>
      </w:r>
      <w:r w:rsidRPr="002A548F">
        <w:t xml:space="preserve"> Commission Staff Working Document</w:t>
      </w:r>
      <w:r w:rsidR="006740A5">
        <w:t xml:space="preserve"> (CSWD)</w:t>
      </w:r>
      <w:r w:rsidR="00725581">
        <w:rPr>
          <w:rStyle w:val="FootnoteReference"/>
        </w:rPr>
        <w:footnoteReference w:id="34"/>
      </w:r>
      <w:r w:rsidR="006740A5">
        <w:t xml:space="preserve"> </w:t>
      </w:r>
      <w:r w:rsidR="001A3C7F">
        <w:t xml:space="preserve">also </w:t>
      </w:r>
      <w:r w:rsidR="00725581">
        <w:t xml:space="preserve">acknowledges </w:t>
      </w:r>
      <w:r w:rsidR="009C77B7">
        <w:t xml:space="preserve">the employment rate accompanied by </w:t>
      </w:r>
      <w:r w:rsidR="001A3C7F">
        <w:t xml:space="preserve">a </w:t>
      </w:r>
      <w:r w:rsidR="009C77B7">
        <w:t>substantial</w:t>
      </w:r>
      <w:r w:rsidR="001A3C7F">
        <w:t>ly</w:t>
      </w:r>
      <w:r w:rsidR="009C77B7">
        <w:t xml:space="preserve"> </w:t>
      </w:r>
      <w:r w:rsidR="001A3C7F">
        <w:t xml:space="preserve">increasing </w:t>
      </w:r>
      <w:r w:rsidR="009C77B7">
        <w:t xml:space="preserve">demand for labour. However, the </w:t>
      </w:r>
      <w:r w:rsidR="001A3C7F">
        <w:t xml:space="preserve">growth in </w:t>
      </w:r>
      <w:r w:rsidR="009C77B7">
        <w:t>employment rate of disabled people does n</w:t>
      </w:r>
      <w:r w:rsidR="006860ED">
        <w:t>ot correspond with such trend and</w:t>
      </w:r>
      <w:r w:rsidR="009C77B7">
        <w:t xml:space="preserve"> remains lower compered an EU average. </w:t>
      </w:r>
      <w:r w:rsidR="006860ED" w:rsidRPr="006860ED">
        <w:rPr>
          <w:lang w:val="en-US"/>
        </w:rPr>
        <w:t>Hence,</w:t>
      </w:r>
      <w:r w:rsidR="006860ED">
        <w:t xml:space="preserve"> </w:t>
      </w:r>
      <w:r w:rsidR="00086DAC">
        <w:t xml:space="preserve">the </w:t>
      </w:r>
      <w:r w:rsidR="006860ED">
        <w:t>w</w:t>
      </w:r>
      <w:r w:rsidR="000737DD">
        <w:t xml:space="preserve">ork potential of disabled people </w:t>
      </w:r>
      <w:r w:rsidR="006860ED">
        <w:t xml:space="preserve">is </w:t>
      </w:r>
      <w:r w:rsidR="001A3C7F">
        <w:t>under</w:t>
      </w:r>
      <w:r w:rsidR="006860ED">
        <w:t>utilised</w:t>
      </w:r>
      <w:r w:rsidR="001A3C7F">
        <w:t xml:space="preserve"> and there is a risk that disabled people are left behind in a strengthening labour market</w:t>
      </w:r>
      <w:r w:rsidR="006860ED">
        <w:t xml:space="preserve">. </w:t>
      </w:r>
    </w:p>
    <w:p w14:paraId="2F481531" w14:textId="77777777" w:rsidR="001A3C7F" w:rsidRDefault="001A3C7F" w:rsidP="006740A5">
      <w:pPr>
        <w:jc w:val="both"/>
      </w:pPr>
    </w:p>
    <w:p w14:paraId="3D082FF6" w14:textId="565A85AC" w:rsidR="001A3C7F" w:rsidRDefault="001A3C7F" w:rsidP="006740A5">
      <w:pPr>
        <w:jc w:val="both"/>
        <w:rPr>
          <w:b/>
        </w:rPr>
      </w:pPr>
      <w:r w:rsidRPr="00B25DFD">
        <w:rPr>
          <w:b/>
        </w:rPr>
        <w:t>Employment</w:t>
      </w:r>
    </w:p>
    <w:p w14:paraId="0C8E47C9" w14:textId="2D6CC3C2" w:rsidR="001041D1" w:rsidRDefault="001041D1" w:rsidP="006740A5">
      <w:pPr>
        <w:jc w:val="both"/>
        <w:rPr>
          <w:szCs w:val="23"/>
        </w:rPr>
      </w:pPr>
      <w:r>
        <w:rPr>
          <w:szCs w:val="23"/>
        </w:rPr>
        <w:t>The 2018 CSWD highlights the l</w:t>
      </w:r>
      <w:r w:rsidR="001A3C7F" w:rsidRPr="007C33E6">
        <w:rPr>
          <w:szCs w:val="23"/>
        </w:rPr>
        <w:t xml:space="preserve">imited capacity of </w:t>
      </w:r>
      <w:r w:rsidR="008B7941">
        <w:rPr>
          <w:szCs w:val="23"/>
        </w:rPr>
        <w:t xml:space="preserve">Czech </w:t>
      </w:r>
      <w:r w:rsidR="001A3C7F" w:rsidRPr="007C33E6">
        <w:rPr>
          <w:szCs w:val="23"/>
        </w:rPr>
        <w:t>public employment services to provide jobseekers with personalised</w:t>
      </w:r>
      <w:r>
        <w:rPr>
          <w:szCs w:val="23"/>
        </w:rPr>
        <w:t xml:space="preserve"> and</w:t>
      </w:r>
      <w:r w:rsidR="001A3C7F" w:rsidRPr="007C33E6">
        <w:rPr>
          <w:szCs w:val="23"/>
        </w:rPr>
        <w:t xml:space="preserve"> continuous support</w:t>
      </w:r>
      <w:r>
        <w:rPr>
          <w:szCs w:val="23"/>
        </w:rPr>
        <w:t xml:space="preserve">, </w:t>
      </w:r>
      <w:r w:rsidR="001A3C7F" w:rsidRPr="007C33E6">
        <w:rPr>
          <w:szCs w:val="23"/>
        </w:rPr>
        <w:t xml:space="preserve">followed </w:t>
      </w:r>
      <w:r w:rsidR="001A3C7F">
        <w:rPr>
          <w:szCs w:val="23"/>
        </w:rPr>
        <w:t xml:space="preserve">by </w:t>
      </w:r>
      <w:r w:rsidR="001A3C7F" w:rsidRPr="007C33E6">
        <w:rPr>
          <w:szCs w:val="23"/>
        </w:rPr>
        <w:t xml:space="preserve">recommendation to </w:t>
      </w:r>
      <w:r w:rsidR="001A3C7F">
        <w:rPr>
          <w:szCs w:val="23"/>
        </w:rPr>
        <w:t>increase</w:t>
      </w:r>
      <w:r w:rsidR="001A3C7F" w:rsidRPr="007C33E6">
        <w:rPr>
          <w:szCs w:val="23"/>
        </w:rPr>
        <w:t xml:space="preserve"> the outreach and activation capacities of </w:t>
      </w:r>
      <w:r>
        <w:rPr>
          <w:szCs w:val="23"/>
        </w:rPr>
        <w:t>these</w:t>
      </w:r>
      <w:r w:rsidR="001A3C7F" w:rsidRPr="007C33E6">
        <w:rPr>
          <w:szCs w:val="23"/>
        </w:rPr>
        <w:t xml:space="preserve"> services, together with effective and well-targeted active labour market policies and individuali</w:t>
      </w:r>
      <w:r w:rsidR="001A3C7F">
        <w:rPr>
          <w:szCs w:val="23"/>
        </w:rPr>
        <w:t>sed services</w:t>
      </w:r>
      <w:r w:rsidR="001A3C7F" w:rsidRPr="00664CC4">
        <w:rPr>
          <w:szCs w:val="23"/>
        </w:rPr>
        <w:t>.</w:t>
      </w:r>
      <w:r w:rsidR="001A3C7F" w:rsidRPr="00664CC4">
        <w:rPr>
          <w:rStyle w:val="FootnoteReference"/>
          <w:szCs w:val="23"/>
        </w:rPr>
        <w:footnoteReference w:id="35"/>
      </w:r>
      <w:r w:rsidR="001A3C7F" w:rsidRPr="00664CC4">
        <w:rPr>
          <w:szCs w:val="23"/>
        </w:rPr>
        <w:t xml:space="preserve"> </w:t>
      </w:r>
      <w:r>
        <w:rPr>
          <w:szCs w:val="23"/>
        </w:rPr>
        <w:t>This is a key issue for disabled people, where more personalised and sustained support is likely to be of greater need and of significant effect on the sustainability of employment outcomes. Disability mainstreaming in public employment service provision and a targeted approach are both needed. Given the specific focus in the 2018 CSR, it would be helpful for the Commission’s analysis to include a perspective on disability employment services in 2019.</w:t>
      </w:r>
    </w:p>
    <w:p w14:paraId="054238A5" w14:textId="77777777" w:rsidR="008B7941" w:rsidRDefault="008B7941" w:rsidP="006740A5">
      <w:pPr>
        <w:jc w:val="both"/>
        <w:rPr>
          <w:szCs w:val="23"/>
        </w:rPr>
      </w:pPr>
    </w:p>
    <w:p w14:paraId="6756CF4B" w14:textId="15F17F0D" w:rsidR="001113F7" w:rsidRDefault="001113F7" w:rsidP="006740A5">
      <w:pPr>
        <w:jc w:val="both"/>
        <w:rPr>
          <w:szCs w:val="23"/>
        </w:rPr>
      </w:pPr>
      <w:r>
        <w:rPr>
          <w:szCs w:val="23"/>
        </w:rPr>
        <w:t>The</w:t>
      </w:r>
      <w:r w:rsidRPr="00664CC4">
        <w:rPr>
          <w:szCs w:val="23"/>
        </w:rPr>
        <w:t xml:space="preserve"> </w:t>
      </w:r>
      <w:r>
        <w:rPr>
          <w:szCs w:val="23"/>
        </w:rPr>
        <w:t xml:space="preserve">2018 </w:t>
      </w:r>
      <w:r w:rsidRPr="00664CC4">
        <w:rPr>
          <w:szCs w:val="20"/>
        </w:rPr>
        <w:t>NRP</w:t>
      </w:r>
      <w:r w:rsidRPr="00664CC4">
        <w:rPr>
          <w:rStyle w:val="FootnoteReference"/>
          <w:szCs w:val="20"/>
        </w:rPr>
        <w:footnoteReference w:id="36"/>
      </w:r>
      <w:r>
        <w:rPr>
          <w:szCs w:val="20"/>
        </w:rPr>
        <w:t xml:space="preserve"> </w:t>
      </w:r>
      <w:r w:rsidRPr="00664CC4">
        <w:rPr>
          <w:szCs w:val="20"/>
        </w:rPr>
        <w:t>recognises</w:t>
      </w:r>
      <w:r>
        <w:rPr>
          <w:szCs w:val="20"/>
        </w:rPr>
        <w:t xml:space="preserve"> the</w:t>
      </w:r>
      <w:r w:rsidRPr="00664CC4">
        <w:rPr>
          <w:szCs w:val="20"/>
        </w:rPr>
        <w:t xml:space="preserve"> importance of the individualised services provided by public employment services </w:t>
      </w:r>
      <w:r>
        <w:rPr>
          <w:szCs w:val="20"/>
        </w:rPr>
        <w:t xml:space="preserve">with </w:t>
      </w:r>
      <w:r w:rsidRPr="00664CC4">
        <w:rPr>
          <w:szCs w:val="20"/>
        </w:rPr>
        <w:t xml:space="preserve">a goal of co-operation with jobseekers. </w:t>
      </w:r>
      <w:r w:rsidRPr="00664CC4">
        <w:rPr>
          <w:szCs w:val="23"/>
        </w:rPr>
        <w:t>In</w:t>
      </w:r>
      <w:r>
        <w:rPr>
          <w:szCs w:val="23"/>
        </w:rPr>
        <w:t xml:space="preserve"> addition, it would be important to take into consideration outcomes of the study conducted by the </w:t>
      </w:r>
      <w:proofErr w:type="spellStart"/>
      <w:r>
        <w:rPr>
          <w:szCs w:val="23"/>
        </w:rPr>
        <w:t>MoLSA</w:t>
      </w:r>
      <w:proofErr w:type="spellEnd"/>
      <w:r>
        <w:rPr>
          <w:szCs w:val="23"/>
        </w:rPr>
        <w:t xml:space="preserve"> Research Institute on the effectiveness of measures currently in place. The report on the study is expected to be released later in 2018. </w:t>
      </w:r>
    </w:p>
    <w:p w14:paraId="3E50AA83" w14:textId="77777777" w:rsidR="001113F7" w:rsidRDefault="001113F7" w:rsidP="006740A5">
      <w:pPr>
        <w:jc w:val="both"/>
        <w:rPr>
          <w:szCs w:val="23"/>
        </w:rPr>
      </w:pPr>
    </w:p>
    <w:p w14:paraId="5883BBAD" w14:textId="590D0538" w:rsidR="008B7941" w:rsidRDefault="008B7941" w:rsidP="006740A5">
      <w:pPr>
        <w:jc w:val="both"/>
        <w:rPr>
          <w:szCs w:val="23"/>
        </w:rPr>
      </w:pPr>
      <w:r>
        <w:rPr>
          <w:szCs w:val="23"/>
        </w:rPr>
        <w:t>The main existing measure in this respect</w:t>
      </w:r>
      <w:r w:rsidRPr="008B7941">
        <w:rPr>
          <w:szCs w:val="23"/>
        </w:rPr>
        <w:t xml:space="preserve"> </w:t>
      </w:r>
      <w:r>
        <w:rPr>
          <w:szCs w:val="23"/>
        </w:rPr>
        <w:t xml:space="preserve">is </w:t>
      </w:r>
      <w:r w:rsidRPr="008B7941">
        <w:rPr>
          <w:szCs w:val="23"/>
        </w:rPr>
        <w:t>vocational rehabilitation</w:t>
      </w:r>
      <w:r>
        <w:rPr>
          <w:szCs w:val="23"/>
        </w:rPr>
        <w:t>, in which the disabled jobseeker and</w:t>
      </w:r>
      <w:r w:rsidRPr="008B7941">
        <w:rPr>
          <w:szCs w:val="23"/>
        </w:rPr>
        <w:t xml:space="preserve"> Labour Office </w:t>
      </w:r>
      <w:r>
        <w:rPr>
          <w:szCs w:val="23"/>
        </w:rPr>
        <w:t>should</w:t>
      </w:r>
      <w:r w:rsidRPr="008B7941">
        <w:rPr>
          <w:szCs w:val="23"/>
        </w:rPr>
        <w:t xml:space="preserve"> decide </w:t>
      </w:r>
      <w:r>
        <w:rPr>
          <w:szCs w:val="23"/>
        </w:rPr>
        <w:t xml:space="preserve">together </w:t>
      </w:r>
      <w:r w:rsidRPr="008B7941">
        <w:rPr>
          <w:szCs w:val="23"/>
        </w:rPr>
        <w:t xml:space="preserve">on the form and content. Labour Offices </w:t>
      </w:r>
      <w:r>
        <w:rPr>
          <w:szCs w:val="23"/>
        </w:rPr>
        <w:t>may</w:t>
      </w:r>
      <w:r w:rsidRPr="008B7941">
        <w:rPr>
          <w:szCs w:val="23"/>
        </w:rPr>
        <w:t xml:space="preserve"> contract provision with NGOs or other providers. A second </w:t>
      </w:r>
      <w:r>
        <w:rPr>
          <w:szCs w:val="23"/>
        </w:rPr>
        <w:t>measure</w:t>
      </w:r>
      <w:r w:rsidRPr="008B7941">
        <w:rPr>
          <w:szCs w:val="23"/>
        </w:rPr>
        <w:t xml:space="preserve"> is ‘Training for a </w:t>
      </w:r>
      <w:proofErr w:type="gramStart"/>
      <w:r w:rsidRPr="008B7941">
        <w:rPr>
          <w:szCs w:val="23"/>
        </w:rPr>
        <w:t>job‘</w:t>
      </w:r>
      <w:proofErr w:type="gramEnd"/>
      <w:r>
        <w:rPr>
          <w:szCs w:val="23"/>
        </w:rPr>
        <w:t>, which provides</w:t>
      </w:r>
      <w:r w:rsidRPr="008B7941">
        <w:rPr>
          <w:szCs w:val="23"/>
        </w:rPr>
        <w:t xml:space="preserve"> </w:t>
      </w:r>
      <w:r>
        <w:rPr>
          <w:szCs w:val="23"/>
        </w:rPr>
        <w:t>individual</w:t>
      </w:r>
      <w:r w:rsidRPr="008B7941">
        <w:rPr>
          <w:szCs w:val="23"/>
        </w:rPr>
        <w:t xml:space="preserve"> training for a suitable job based upon an ag</w:t>
      </w:r>
      <w:r>
        <w:rPr>
          <w:szCs w:val="23"/>
        </w:rPr>
        <w:t xml:space="preserve">reement with the Labour Office (up to </w:t>
      </w:r>
      <w:r w:rsidRPr="008B7941">
        <w:rPr>
          <w:szCs w:val="23"/>
        </w:rPr>
        <w:t>24 months</w:t>
      </w:r>
      <w:r>
        <w:rPr>
          <w:szCs w:val="23"/>
        </w:rPr>
        <w:t>)</w:t>
      </w:r>
      <w:r w:rsidRPr="008B7941">
        <w:rPr>
          <w:szCs w:val="23"/>
        </w:rPr>
        <w:t xml:space="preserve">. </w:t>
      </w:r>
      <w:r>
        <w:rPr>
          <w:szCs w:val="23"/>
        </w:rPr>
        <w:lastRenderedPageBreak/>
        <w:t>There are also</w:t>
      </w:r>
      <w:r w:rsidRPr="008B7941">
        <w:rPr>
          <w:szCs w:val="23"/>
        </w:rPr>
        <w:t xml:space="preserve"> </w:t>
      </w:r>
      <w:r w:rsidR="006740A5">
        <w:rPr>
          <w:szCs w:val="23"/>
        </w:rPr>
        <w:t>‘</w:t>
      </w:r>
      <w:r w:rsidRPr="008B7941">
        <w:rPr>
          <w:szCs w:val="23"/>
        </w:rPr>
        <w:t xml:space="preserve">Specialised retraining </w:t>
      </w:r>
      <w:proofErr w:type="gramStart"/>
      <w:r w:rsidRPr="008B7941">
        <w:rPr>
          <w:szCs w:val="23"/>
        </w:rPr>
        <w:t>courses</w:t>
      </w:r>
      <w:r w:rsidR="006740A5">
        <w:rPr>
          <w:szCs w:val="23"/>
        </w:rPr>
        <w:t>’</w:t>
      </w:r>
      <w:proofErr w:type="gramEnd"/>
      <w:r w:rsidR="006740A5">
        <w:rPr>
          <w:szCs w:val="23"/>
        </w:rPr>
        <w:t>.</w:t>
      </w:r>
      <w:r>
        <w:rPr>
          <w:szCs w:val="23"/>
        </w:rPr>
        <w:t xml:space="preserve"> In addition to these schemes there is provision for </w:t>
      </w:r>
      <w:r w:rsidRPr="008B7941">
        <w:rPr>
          <w:szCs w:val="23"/>
        </w:rPr>
        <w:t>sheltered work position</w:t>
      </w:r>
      <w:r>
        <w:rPr>
          <w:szCs w:val="23"/>
        </w:rPr>
        <w:t>s (</w:t>
      </w:r>
      <w:proofErr w:type="spellStart"/>
      <w:r>
        <w:rPr>
          <w:szCs w:val="23"/>
        </w:rPr>
        <w:t>chráněné</w:t>
      </w:r>
      <w:proofErr w:type="spellEnd"/>
      <w:r>
        <w:rPr>
          <w:szCs w:val="23"/>
        </w:rPr>
        <w:t xml:space="preserve"> </w:t>
      </w:r>
      <w:proofErr w:type="spellStart"/>
      <w:r>
        <w:rPr>
          <w:szCs w:val="23"/>
        </w:rPr>
        <w:t>pracovní</w:t>
      </w:r>
      <w:proofErr w:type="spellEnd"/>
      <w:r>
        <w:rPr>
          <w:szCs w:val="23"/>
        </w:rPr>
        <w:t xml:space="preserve"> </w:t>
      </w:r>
      <w:proofErr w:type="spellStart"/>
      <w:r>
        <w:rPr>
          <w:szCs w:val="23"/>
        </w:rPr>
        <w:t>místo</w:t>
      </w:r>
      <w:proofErr w:type="spellEnd"/>
      <w:r>
        <w:rPr>
          <w:szCs w:val="23"/>
        </w:rPr>
        <w:t xml:space="preserve">), </w:t>
      </w:r>
      <w:r w:rsidRPr="008B7941">
        <w:rPr>
          <w:szCs w:val="23"/>
        </w:rPr>
        <w:t>created by an employer for an individual with a disability based upon a written agreement with the Labour Office</w:t>
      </w:r>
      <w:r>
        <w:rPr>
          <w:szCs w:val="23"/>
        </w:rPr>
        <w:t xml:space="preserve">, </w:t>
      </w:r>
      <w:r w:rsidRPr="008B7941">
        <w:rPr>
          <w:szCs w:val="23"/>
        </w:rPr>
        <w:t xml:space="preserve">for at least </w:t>
      </w:r>
      <w:r>
        <w:rPr>
          <w:szCs w:val="23"/>
        </w:rPr>
        <w:t>two</w:t>
      </w:r>
      <w:r w:rsidRPr="008B7941">
        <w:rPr>
          <w:szCs w:val="23"/>
        </w:rPr>
        <w:t xml:space="preserve"> years.</w:t>
      </w:r>
      <w:r>
        <w:rPr>
          <w:szCs w:val="23"/>
        </w:rPr>
        <w:t xml:space="preserve"> </w:t>
      </w:r>
      <w:r w:rsidRPr="008B7941">
        <w:rPr>
          <w:szCs w:val="23"/>
        </w:rPr>
        <w:t>The Labour Office may contribut</w:t>
      </w:r>
      <w:r>
        <w:rPr>
          <w:szCs w:val="23"/>
        </w:rPr>
        <w:t>e</w:t>
      </w:r>
      <w:r w:rsidRPr="008B7941">
        <w:rPr>
          <w:szCs w:val="23"/>
        </w:rPr>
        <w:t xml:space="preserve"> to the creation of </w:t>
      </w:r>
      <w:r>
        <w:rPr>
          <w:szCs w:val="23"/>
        </w:rPr>
        <w:t>such a</w:t>
      </w:r>
      <w:r w:rsidRPr="008B7941">
        <w:rPr>
          <w:szCs w:val="23"/>
        </w:rPr>
        <w:t xml:space="preserve"> position. An employer who provided training for disabled individuals may receive full costs of such training for disabled individuals, from the Labour Office.</w:t>
      </w:r>
      <w:r>
        <w:rPr>
          <w:szCs w:val="23"/>
        </w:rPr>
        <w:t xml:space="preserve"> </w:t>
      </w:r>
      <w:r w:rsidRPr="008B7941">
        <w:rPr>
          <w:szCs w:val="23"/>
        </w:rPr>
        <w:t xml:space="preserve"> </w:t>
      </w:r>
    </w:p>
    <w:p w14:paraId="342600DF" w14:textId="77777777" w:rsidR="001041D1" w:rsidRDefault="001041D1" w:rsidP="006740A5">
      <w:pPr>
        <w:jc w:val="both"/>
        <w:rPr>
          <w:szCs w:val="23"/>
        </w:rPr>
      </w:pPr>
    </w:p>
    <w:p w14:paraId="1992E6F0" w14:textId="6CA3DDCD" w:rsidR="001113F7" w:rsidRDefault="001A3C7F" w:rsidP="006740A5">
      <w:pPr>
        <w:autoSpaceDE w:val="0"/>
        <w:autoSpaceDN w:val="0"/>
        <w:adjustRightInd w:val="0"/>
        <w:jc w:val="both"/>
      </w:pPr>
      <w:r w:rsidRPr="00664CC4">
        <w:t>NRP refers to modifications in the employment quota system where the central electronic record of an alternative</w:t>
      </w:r>
      <w:r w:rsidR="0070114A">
        <w:t>s</w:t>
      </w:r>
      <w:r w:rsidRPr="00664CC4">
        <w:t xml:space="preserve"> to the fulfilment was introduced</w:t>
      </w:r>
      <w:r w:rsidR="0070114A">
        <w:t xml:space="preserve"> with aim to</w:t>
      </w:r>
      <w:r w:rsidR="00407B10">
        <w:t xml:space="preserve"> have monitoring mechanism and to motivate employees to preferably </w:t>
      </w:r>
      <w:r w:rsidR="005F4E9E">
        <w:t xml:space="preserve">directly </w:t>
      </w:r>
      <w:r w:rsidR="00407B10">
        <w:t xml:space="preserve">employ disabled people. </w:t>
      </w:r>
    </w:p>
    <w:p w14:paraId="5AEC189F" w14:textId="77777777" w:rsidR="001113F7" w:rsidRDefault="001113F7" w:rsidP="006740A5">
      <w:pPr>
        <w:autoSpaceDE w:val="0"/>
        <w:autoSpaceDN w:val="0"/>
        <w:adjustRightInd w:val="0"/>
        <w:jc w:val="both"/>
      </w:pPr>
    </w:p>
    <w:p w14:paraId="4C9F4060" w14:textId="1A689C64" w:rsidR="001A3C7F" w:rsidRDefault="001A3C7F" w:rsidP="006740A5">
      <w:pPr>
        <w:autoSpaceDE w:val="0"/>
        <w:autoSpaceDN w:val="0"/>
        <w:adjustRightInd w:val="0"/>
        <w:jc w:val="both"/>
      </w:pPr>
      <w:r>
        <w:t>It would be important to pay due a</w:t>
      </w:r>
      <w:r w:rsidRPr="00664CC4">
        <w:t xml:space="preserve">ttention </w:t>
      </w:r>
      <w:r>
        <w:t xml:space="preserve">also </w:t>
      </w:r>
      <w:r w:rsidRPr="00664CC4">
        <w:t>to</w:t>
      </w:r>
      <w:r w:rsidR="001113F7">
        <w:t xml:space="preserve"> the</w:t>
      </w:r>
      <w:r w:rsidRPr="00664CC4">
        <w:t xml:space="preserve"> </w:t>
      </w:r>
      <w:r>
        <w:t xml:space="preserve">unsatisfactory situation of employment of disabled people in </w:t>
      </w:r>
      <w:r w:rsidRPr="00664CC4">
        <w:t>public administration authorities</w:t>
      </w:r>
      <w:r>
        <w:t xml:space="preserve"> at all levels</w:t>
      </w:r>
      <w:r w:rsidR="001113F7">
        <w:t xml:space="preserve"> (as evidenced earlier in chapter 2)</w:t>
      </w:r>
      <w:r w:rsidRPr="00664CC4">
        <w:t>.</w:t>
      </w:r>
      <w:r w:rsidR="0015427E">
        <w:t xml:space="preserve"> </w:t>
      </w:r>
    </w:p>
    <w:p w14:paraId="503A5F0F" w14:textId="77777777" w:rsidR="001A3C7F" w:rsidRDefault="001A3C7F" w:rsidP="006740A5">
      <w:pPr>
        <w:autoSpaceDE w:val="0"/>
        <w:autoSpaceDN w:val="0"/>
        <w:adjustRightInd w:val="0"/>
        <w:jc w:val="both"/>
      </w:pPr>
    </w:p>
    <w:p w14:paraId="6A5D94B8" w14:textId="7D337059" w:rsidR="001A3C7F" w:rsidRDefault="001113F7" w:rsidP="006740A5">
      <w:pPr>
        <w:autoSpaceDE w:val="0"/>
        <w:autoSpaceDN w:val="0"/>
        <w:adjustRightInd w:val="0"/>
        <w:jc w:val="both"/>
      </w:pPr>
      <w:r>
        <w:t>In</w:t>
      </w:r>
      <w:r w:rsidR="001A3C7F" w:rsidRPr="001A1BD2">
        <w:t xml:space="preserve"> 2017, the Government approved the intention of the</w:t>
      </w:r>
      <w:r w:rsidR="001A3C7F">
        <w:t xml:space="preserve"> Act on Social Entrepreneurship.</w:t>
      </w:r>
      <w:r w:rsidR="001A3C7F" w:rsidRPr="001A1BD2">
        <w:t xml:space="preserve"> </w:t>
      </w:r>
      <w:r>
        <w:t>This</w:t>
      </w:r>
      <w:r w:rsidRPr="001A1BD2">
        <w:t xml:space="preserve"> </w:t>
      </w:r>
      <w:r w:rsidR="001A3C7F" w:rsidRPr="001A1BD2">
        <w:t xml:space="preserve">aims to define the legally binding status of a social enterprise and a social integration enterprise, and to establish a definition for the segment of the social economy in the Czech Republic. </w:t>
      </w:r>
      <w:r w:rsidR="0070114A">
        <w:t xml:space="preserve">In agreement with </w:t>
      </w:r>
      <w:r>
        <w:t xml:space="preserve">the </w:t>
      </w:r>
      <w:r w:rsidR="001A3C7F" w:rsidRPr="001A1BD2">
        <w:t>NRP, this is one of the first steps on the way to unifying the approach to social entrepreneurship in the Czech</w:t>
      </w:r>
      <w:r w:rsidR="001A3C7F" w:rsidRPr="007C2286">
        <w:t xml:space="preserve"> Republic. </w:t>
      </w:r>
    </w:p>
    <w:p w14:paraId="1475894E" w14:textId="77777777" w:rsidR="001A3C7F" w:rsidRPr="00664CC4" w:rsidRDefault="001A3C7F" w:rsidP="006740A5">
      <w:pPr>
        <w:autoSpaceDE w:val="0"/>
        <w:autoSpaceDN w:val="0"/>
        <w:adjustRightInd w:val="0"/>
        <w:jc w:val="both"/>
      </w:pPr>
    </w:p>
    <w:p w14:paraId="37AE5054" w14:textId="5480023C" w:rsidR="001A3C7F" w:rsidRDefault="001A3C7F" w:rsidP="006740A5">
      <w:pPr>
        <w:jc w:val="both"/>
        <w:rPr>
          <w:b/>
        </w:rPr>
      </w:pPr>
      <w:r>
        <w:rPr>
          <w:b/>
        </w:rPr>
        <w:t>Education</w:t>
      </w:r>
    </w:p>
    <w:p w14:paraId="1DDADF07" w14:textId="638E15F6" w:rsidR="004B1E3E" w:rsidRDefault="004B1E3E" w:rsidP="006740A5">
      <w:pPr>
        <w:jc w:val="both"/>
      </w:pPr>
      <w:r>
        <w:t xml:space="preserve">A key theme in the Commission’s analysis is that educational performance is affected by socioeconomic background. </w:t>
      </w:r>
      <w:r w:rsidR="00A30A78">
        <w:t xml:space="preserve">As shown in earlier chapters, disabled people and their households are significantly over-represented among lower </w:t>
      </w:r>
      <w:r w:rsidR="00A30A78" w:rsidRPr="00A30A78">
        <w:t>socioeconomic position</w:t>
      </w:r>
      <w:r w:rsidR="00A30A78">
        <w:t>s. Their early leaving and tertiary educational indicators fall short of Czech targets. If a comprehensive skills strategy, and qualifications framework, is recommended then it must address disability equality among its priorities.</w:t>
      </w:r>
      <w:r w:rsidR="00336D47">
        <w:t xml:space="preserve"> Some of the disability employment training schemes (mentioned above) are also relevant to ‘upskilling’</w:t>
      </w:r>
      <w:r w:rsidR="00B6067E">
        <w:t xml:space="preserve"> for labour market needs</w:t>
      </w:r>
      <w:r w:rsidR="00336D47">
        <w:t>.</w:t>
      </w:r>
    </w:p>
    <w:p w14:paraId="70AAE110" w14:textId="77777777" w:rsidR="004B1E3E" w:rsidRDefault="004B1E3E" w:rsidP="006740A5">
      <w:pPr>
        <w:jc w:val="both"/>
      </w:pPr>
    </w:p>
    <w:p w14:paraId="65AB121A" w14:textId="2A1DD157" w:rsidR="001A3C7F" w:rsidRPr="001A3C7F" w:rsidRDefault="001041D1" w:rsidP="006740A5">
      <w:pPr>
        <w:jc w:val="both"/>
      </w:pPr>
      <w:r>
        <w:t>The 2018 CSWD notes the use of E</w:t>
      </w:r>
      <w:r w:rsidRPr="001041D1">
        <w:t xml:space="preserve">SF funding </w:t>
      </w:r>
      <w:r w:rsidR="001113F7">
        <w:t>since</w:t>
      </w:r>
      <w:r w:rsidRPr="001041D1">
        <w:t xml:space="preserve"> 2016 to </w:t>
      </w:r>
      <w:r>
        <w:t>support</w:t>
      </w:r>
      <w:r w:rsidRPr="001041D1">
        <w:t xml:space="preserve"> inclusion of pupils with special needs </w:t>
      </w:r>
      <w:r w:rsidR="001113F7">
        <w:t>in kindergartens and more widely in schools. This was predicated on the inclusion reforms started in 2016, which need to be evaluated. The CSWD</w:t>
      </w:r>
      <w:r w:rsidR="001113F7" w:rsidRPr="001A3C7F">
        <w:t xml:space="preserve"> </w:t>
      </w:r>
      <w:r w:rsidR="001A3C7F" w:rsidRPr="001A3C7F">
        <w:t>refers to progress in inclusive education</w:t>
      </w:r>
      <w:r w:rsidR="001113F7">
        <w:t xml:space="preserve"> but more to Roma children and socio-economic background than </w:t>
      </w:r>
      <w:r w:rsidR="004B1E3E">
        <w:t xml:space="preserve">to </w:t>
      </w:r>
      <w:r w:rsidR="001113F7">
        <w:t>disability (this ought to be addressed in the 2019 reviews)</w:t>
      </w:r>
      <w:r w:rsidR="001A3C7F" w:rsidRPr="001A3C7F">
        <w:t xml:space="preserve">. It predicts that the success of the reform to make education more inclusive will depend on teachers and the availability of </w:t>
      </w:r>
      <w:proofErr w:type="gramStart"/>
      <w:r w:rsidR="001A3C7F" w:rsidRPr="001A3C7F">
        <w:t>sufficient</w:t>
      </w:r>
      <w:proofErr w:type="gramEnd"/>
      <w:r w:rsidR="001A3C7F" w:rsidRPr="001A3C7F">
        <w:t xml:space="preserve"> and sustainable national funding, further teacher and teaching-assistant training, and raising public awareness of the benefits of inclusive education.</w:t>
      </w:r>
      <w:r w:rsidR="001A3C7F" w:rsidRPr="001A3C7F">
        <w:rPr>
          <w:vertAlign w:val="superscript"/>
        </w:rPr>
        <w:footnoteReference w:id="37"/>
      </w:r>
      <w:r w:rsidR="001113F7">
        <w:t xml:space="preserve"> </w:t>
      </w:r>
      <w:r w:rsidR="001A3C7F" w:rsidRPr="001A3C7F">
        <w:t xml:space="preserve">Relevant in teacher professional development is also the career structure for teachers. Preparation of the bill on the career structure of teachers has been on the Government agenda for two decades. </w:t>
      </w:r>
      <w:r w:rsidR="001A3C7F" w:rsidRPr="001A3C7F">
        <w:lastRenderedPageBreak/>
        <w:t xml:space="preserve">The Parliament did not accept the bill on the career structure of teachers in 2017. Hence, </w:t>
      </w:r>
      <w:r w:rsidR="004B1E3E">
        <w:t>the</w:t>
      </w:r>
      <w:r w:rsidR="004B1E3E" w:rsidRPr="001A3C7F">
        <w:t xml:space="preserve"> </w:t>
      </w:r>
      <w:r w:rsidR="001A3C7F" w:rsidRPr="001A3C7F">
        <w:t xml:space="preserve">unfavourable situation in teaching career and professional development </w:t>
      </w:r>
      <w:r w:rsidR="004B1E3E">
        <w:t>remains</w:t>
      </w:r>
      <w:r w:rsidR="004B1E3E" w:rsidRPr="001A3C7F">
        <w:t xml:space="preserve"> </w:t>
      </w:r>
      <w:r w:rsidR="001A3C7F" w:rsidRPr="001A3C7F">
        <w:t>unsatisfactory.</w:t>
      </w:r>
    </w:p>
    <w:p w14:paraId="7E24D032" w14:textId="77777777" w:rsidR="001A3C7F" w:rsidRPr="009C77B7" w:rsidRDefault="001A3C7F" w:rsidP="006740A5">
      <w:pPr>
        <w:jc w:val="both"/>
      </w:pPr>
    </w:p>
    <w:p w14:paraId="5430481D" w14:textId="21578FE5" w:rsidR="004A6DA9" w:rsidRPr="00B25DFD" w:rsidRDefault="001A3C7F" w:rsidP="006740A5">
      <w:pPr>
        <w:jc w:val="both"/>
        <w:rPr>
          <w:b/>
        </w:rPr>
      </w:pPr>
      <w:r w:rsidRPr="00B25DFD">
        <w:rPr>
          <w:b/>
        </w:rPr>
        <w:t xml:space="preserve">Poverty reduction and social </w:t>
      </w:r>
      <w:r>
        <w:rPr>
          <w:b/>
        </w:rPr>
        <w:t>inclusion</w:t>
      </w:r>
    </w:p>
    <w:p w14:paraId="1AC3075B" w14:textId="2DF0CBE4" w:rsidR="0065737D" w:rsidRDefault="001041D1" w:rsidP="006740A5">
      <w:pPr>
        <w:jc w:val="both"/>
      </w:pPr>
      <w:r>
        <w:t xml:space="preserve">The 2018 CSWD notes the rising trend of </w:t>
      </w:r>
      <w:r w:rsidRPr="001041D1">
        <w:t>household poverty and social exclusion for disabled persons</w:t>
      </w:r>
      <w:r>
        <w:t xml:space="preserve"> (evidenced earlier in chapter 4 and annex). </w:t>
      </w:r>
      <w:r w:rsidR="002F415D">
        <w:t>The summary table in the CSWD (Table C.4) shows how e</w:t>
      </w:r>
      <w:r w:rsidR="00725581" w:rsidRPr="0065737D">
        <w:t xml:space="preserve">xpenditure on social protection benefits </w:t>
      </w:r>
      <w:r w:rsidR="009C77B7" w:rsidRPr="0065737D">
        <w:t>related to disability slightly decreased from 1</w:t>
      </w:r>
      <w:r w:rsidR="002F415D">
        <w:t>.</w:t>
      </w:r>
      <w:r w:rsidR="009C77B7" w:rsidRPr="0065737D">
        <w:t>4 % GDP in 2012 to 1</w:t>
      </w:r>
      <w:r w:rsidR="002F415D">
        <w:t>.</w:t>
      </w:r>
      <w:r w:rsidR="009C77B7" w:rsidRPr="0065737D">
        <w:t>2 % in 2015</w:t>
      </w:r>
      <w:r w:rsidR="002F415D">
        <w:t xml:space="preserve"> yet a </w:t>
      </w:r>
      <w:r w:rsidR="004A6DA9" w:rsidRPr="0065737D">
        <w:t>rising trend of household poverty and social exclusion for disabled persons, as well as for the long-term unemployed</w:t>
      </w:r>
      <w:r w:rsidR="002F415D">
        <w:t>,</w:t>
      </w:r>
      <w:r w:rsidR="004A6DA9" w:rsidRPr="0065737D">
        <w:t xml:space="preserve"> is reported. </w:t>
      </w:r>
      <w:r w:rsidR="002F415D">
        <w:t xml:space="preserve">This seems paradoxical and merits attention. </w:t>
      </w:r>
    </w:p>
    <w:p w14:paraId="178DD63E" w14:textId="77777777" w:rsidR="0065737D" w:rsidRDefault="0065737D" w:rsidP="006740A5">
      <w:pPr>
        <w:jc w:val="both"/>
      </w:pPr>
    </w:p>
    <w:p w14:paraId="4DBBE326" w14:textId="1A7CF249" w:rsidR="004A6DA9" w:rsidRPr="0065737D" w:rsidRDefault="002F415D" w:rsidP="006740A5">
      <w:pPr>
        <w:jc w:val="both"/>
      </w:pPr>
      <w:r>
        <w:t>The u</w:t>
      </w:r>
      <w:r w:rsidR="000737DD" w:rsidRPr="0065737D">
        <w:t>nfavourable situation of disabled people was addresse</w:t>
      </w:r>
      <w:r>
        <w:t>d</w:t>
      </w:r>
      <w:r w:rsidR="000737DD" w:rsidRPr="0065737D">
        <w:t xml:space="preserve"> </w:t>
      </w:r>
      <w:r>
        <w:t xml:space="preserve">strongly </w:t>
      </w:r>
      <w:r w:rsidR="000737DD" w:rsidRPr="0065737D">
        <w:t xml:space="preserve">by the UN CRPD </w:t>
      </w:r>
      <w:r>
        <w:t>C</w:t>
      </w:r>
      <w:r w:rsidR="000737DD" w:rsidRPr="0065737D">
        <w:t xml:space="preserve">ommittee in 2015. </w:t>
      </w:r>
      <w:r w:rsidR="004A6DA9" w:rsidRPr="0065737D">
        <w:t>The</w:t>
      </w:r>
      <w:r>
        <w:t>ir</w:t>
      </w:r>
      <w:r w:rsidR="004A6DA9" w:rsidRPr="0065737D">
        <w:t xml:space="preserve"> recommendations </w:t>
      </w:r>
      <w:r w:rsidRPr="0065737D">
        <w:t>call</w:t>
      </w:r>
      <w:r>
        <w:t>ed</w:t>
      </w:r>
      <w:r w:rsidRPr="0065737D">
        <w:t xml:space="preserve"> </w:t>
      </w:r>
      <w:r>
        <w:t>on</w:t>
      </w:r>
      <w:r w:rsidRPr="0065737D">
        <w:t xml:space="preserve"> </w:t>
      </w:r>
      <w:r w:rsidR="004A6DA9" w:rsidRPr="0065737D">
        <w:t xml:space="preserve">the Czech Republic to review </w:t>
      </w:r>
      <w:r>
        <w:t>its</w:t>
      </w:r>
      <w:r w:rsidRPr="0065737D">
        <w:t xml:space="preserve"> </w:t>
      </w:r>
      <w:r w:rsidR="004A6DA9" w:rsidRPr="0065737D">
        <w:t>legislation on the provision of benefits to persons with disabilities, with genuine participation of persons with disabilities, to reintroduce the additional social allowance in order to bring the standard of living of families with children with disabilities above the subsistence level</w:t>
      </w:r>
      <w:r>
        <w:t xml:space="preserve"> (see chapter 1.3.1 earlier).</w:t>
      </w:r>
    </w:p>
    <w:p w14:paraId="700C51D4" w14:textId="23AC29C1" w:rsidR="000737DD" w:rsidRDefault="000737DD" w:rsidP="006740A5">
      <w:pPr>
        <w:jc w:val="both"/>
        <w:rPr>
          <w:sz w:val="20"/>
          <w:szCs w:val="20"/>
        </w:rPr>
      </w:pPr>
    </w:p>
    <w:p w14:paraId="6722130A" w14:textId="71AF7593" w:rsidR="002442D1" w:rsidRDefault="007C33E6" w:rsidP="006740A5">
      <w:pPr>
        <w:autoSpaceDE w:val="0"/>
        <w:autoSpaceDN w:val="0"/>
        <w:adjustRightInd w:val="0"/>
        <w:jc w:val="both"/>
      </w:pPr>
      <w:r>
        <w:t xml:space="preserve">The </w:t>
      </w:r>
      <w:r w:rsidR="002F415D">
        <w:t xml:space="preserve">2018 </w:t>
      </w:r>
      <w:r w:rsidR="00F5591C">
        <w:t>CSWD</w:t>
      </w:r>
      <w:r>
        <w:t xml:space="preserve"> </w:t>
      </w:r>
      <w:r w:rsidR="002F415D">
        <w:t xml:space="preserve">also </w:t>
      </w:r>
      <w:r>
        <w:t>address</w:t>
      </w:r>
      <w:r w:rsidR="00F5591C">
        <w:t>es</w:t>
      </w:r>
      <w:r>
        <w:t xml:space="preserve"> </w:t>
      </w:r>
      <w:r w:rsidR="00664CC4">
        <w:t xml:space="preserve">the </w:t>
      </w:r>
      <w:r>
        <w:t xml:space="preserve">situation in </w:t>
      </w:r>
      <w:r w:rsidR="00086DAC">
        <w:t>long-term</w:t>
      </w:r>
      <w:r>
        <w:t xml:space="preserve"> </w:t>
      </w:r>
      <w:r w:rsidR="002F415D">
        <w:t xml:space="preserve">social </w:t>
      </w:r>
      <w:r>
        <w:t xml:space="preserve">care while referring to absence of </w:t>
      </w:r>
      <w:r w:rsidR="00624FAB" w:rsidRPr="00624FAB">
        <w:t xml:space="preserve">patient fees in healthcare </w:t>
      </w:r>
      <w:r w:rsidR="002F415D">
        <w:t>(</w:t>
      </w:r>
      <w:r w:rsidR="00EC0903">
        <w:t xml:space="preserve">as </w:t>
      </w:r>
      <w:r w:rsidR="00624FAB" w:rsidRPr="00624FAB">
        <w:t>an incentive for patients to stay longer in hospital instead of being transf</w:t>
      </w:r>
      <w:r w:rsidR="009D26FF">
        <w:t>erred to social care facilities</w:t>
      </w:r>
      <w:r w:rsidR="002F415D">
        <w:t>)</w:t>
      </w:r>
      <w:r w:rsidR="009D26FF">
        <w:t xml:space="preserve">. Users of social care facilities </w:t>
      </w:r>
      <w:r w:rsidR="002F415D">
        <w:t xml:space="preserve">contribute </w:t>
      </w:r>
      <w:r w:rsidR="009D26FF">
        <w:t>financially to these provisions</w:t>
      </w:r>
      <w:r w:rsidR="002F415D">
        <w:t xml:space="preserve"> and, a</w:t>
      </w:r>
      <w:r w:rsidR="009D26FF">
        <w:t xml:space="preserve">s result, the clients and/or families often prefer to </w:t>
      </w:r>
      <w:r w:rsidR="002F415D">
        <w:t xml:space="preserve">remain </w:t>
      </w:r>
      <w:r w:rsidR="009D26FF">
        <w:t xml:space="preserve">in health care provisions. </w:t>
      </w:r>
      <w:r w:rsidR="009D26FF" w:rsidRPr="00ED3E75">
        <w:t xml:space="preserve">In addition, </w:t>
      </w:r>
      <w:r w:rsidR="002F415D">
        <w:t>the l</w:t>
      </w:r>
      <w:r w:rsidR="00F5591C">
        <w:t xml:space="preserve">imited capacity </w:t>
      </w:r>
      <w:r w:rsidR="009D26FF" w:rsidRPr="00ED3E75">
        <w:t xml:space="preserve">of community-based services </w:t>
      </w:r>
      <w:r w:rsidR="002442D1">
        <w:t>is a blockage to</w:t>
      </w:r>
      <w:r w:rsidR="009D26FF" w:rsidRPr="00ED3E75">
        <w:t xml:space="preserve"> disabled people from exercising their right to decide where to live </w:t>
      </w:r>
      <w:r w:rsidR="002442D1">
        <w:t>as required by UN CRPD</w:t>
      </w:r>
      <w:r w:rsidR="002442D1" w:rsidRPr="00ED3E75">
        <w:t xml:space="preserve"> </w:t>
      </w:r>
      <w:r w:rsidR="002442D1">
        <w:t>A</w:t>
      </w:r>
      <w:r w:rsidR="009D26FF" w:rsidRPr="00ED3E75">
        <w:t>rticle 19</w:t>
      </w:r>
      <w:r w:rsidR="00EC0903">
        <w:t xml:space="preserve">. </w:t>
      </w:r>
      <w:r w:rsidR="006860ED">
        <w:t>Furthermore, t</w:t>
      </w:r>
      <w:r w:rsidR="006F33F5">
        <w:t xml:space="preserve">he </w:t>
      </w:r>
      <w:r w:rsidR="009D26FF">
        <w:t xml:space="preserve">current system of financing social services </w:t>
      </w:r>
      <w:r w:rsidR="006F33F5">
        <w:t>has limitation</w:t>
      </w:r>
      <w:r w:rsidR="002442D1">
        <w:t>s</w:t>
      </w:r>
      <w:r w:rsidR="006F33F5">
        <w:t xml:space="preserve"> in respecting </w:t>
      </w:r>
      <w:r w:rsidR="002442D1">
        <w:t xml:space="preserve">the </w:t>
      </w:r>
      <w:r w:rsidR="006F33F5">
        <w:t>individual needs of service users and in supporting community-based services. There is a need to a</w:t>
      </w:r>
      <w:r w:rsidR="006F33F5" w:rsidRPr="006F33F5">
        <w:t xml:space="preserve">mend </w:t>
      </w:r>
      <w:r w:rsidR="00CA1E07">
        <w:t xml:space="preserve">the </w:t>
      </w:r>
      <w:r w:rsidR="006F33F5">
        <w:t>current</w:t>
      </w:r>
      <w:r w:rsidR="006F33F5" w:rsidRPr="006F33F5">
        <w:t xml:space="preserve"> </w:t>
      </w:r>
      <w:r w:rsidR="006F33F5">
        <w:t xml:space="preserve">system of financing social services to better reflect </w:t>
      </w:r>
      <w:r w:rsidR="002442D1">
        <w:t xml:space="preserve">the </w:t>
      </w:r>
      <w:r w:rsidR="006F33F5">
        <w:t>individual needs of service</w:t>
      </w:r>
      <w:r w:rsidR="006F33F5" w:rsidRPr="006F33F5">
        <w:t xml:space="preserve"> </w:t>
      </w:r>
      <w:r w:rsidR="006F33F5">
        <w:t xml:space="preserve">users, </w:t>
      </w:r>
      <w:r w:rsidR="006F33F5" w:rsidRPr="006F33F5">
        <w:t xml:space="preserve">and </w:t>
      </w:r>
      <w:r w:rsidR="006F33F5">
        <w:t>to assure its sustainability i</w:t>
      </w:r>
      <w:r w:rsidR="006F33F5" w:rsidRPr="006F33F5">
        <w:t>n the long run.</w:t>
      </w:r>
      <w:r w:rsidR="00086DAC" w:rsidRPr="00086DAC">
        <w:t xml:space="preserve"> </w:t>
      </w:r>
      <w:r w:rsidR="002442D1">
        <w:t>These bottlenecks, blockages and disincentives should be addressed in the 2019 reviews.</w:t>
      </w:r>
    </w:p>
    <w:p w14:paraId="21416317" w14:textId="77777777" w:rsidR="002442D1" w:rsidRDefault="002442D1" w:rsidP="006740A5">
      <w:pPr>
        <w:autoSpaceDE w:val="0"/>
        <w:autoSpaceDN w:val="0"/>
        <w:adjustRightInd w:val="0"/>
        <w:jc w:val="both"/>
      </w:pPr>
    </w:p>
    <w:p w14:paraId="358A7067" w14:textId="148A820E" w:rsidR="003B178E" w:rsidRPr="007C2286" w:rsidRDefault="002442D1" w:rsidP="006740A5">
      <w:pPr>
        <w:jc w:val="both"/>
      </w:pPr>
      <w:r w:rsidRPr="00C06D94">
        <w:rPr>
          <w:bCs/>
        </w:rPr>
        <w:t xml:space="preserve">The legal framework for the social housing plan is still absent. </w:t>
      </w:r>
      <w:r>
        <w:rPr>
          <w:bCs/>
        </w:rPr>
        <w:t>The c</w:t>
      </w:r>
      <w:r w:rsidRPr="00C06D94">
        <w:t xml:space="preserve">urrent legislation does not address </w:t>
      </w:r>
      <w:r>
        <w:t>lack</w:t>
      </w:r>
      <w:r w:rsidRPr="00C06D94">
        <w:t xml:space="preserve"> of affordable and quality social housing in times of record price rises in rental housing</w:t>
      </w:r>
      <w:r>
        <w:t xml:space="preserve">. </w:t>
      </w:r>
      <w:r w:rsidRPr="006B7EBF">
        <w:t xml:space="preserve">The new bill </w:t>
      </w:r>
      <w:r>
        <w:t xml:space="preserve">on Social Housing </w:t>
      </w:r>
      <w:r w:rsidRPr="006B7EBF">
        <w:t xml:space="preserve">is expected to be </w:t>
      </w:r>
      <w:r>
        <w:t>submitted</w:t>
      </w:r>
      <w:r w:rsidRPr="006B7EBF">
        <w:t xml:space="preserve"> by the Ministry of </w:t>
      </w:r>
      <w:r>
        <w:t xml:space="preserve">Regional Development in 2019 with financial support measures. The </w:t>
      </w:r>
      <w:r w:rsidRPr="00C06D94">
        <w:t xml:space="preserve">framework of </w:t>
      </w:r>
      <w:r>
        <w:t xml:space="preserve">the financial </w:t>
      </w:r>
      <w:r w:rsidRPr="00C06D94">
        <w:t>support for social housing should also in</w:t>
      </w:r>
      <w:r>
        <w:t>clude support for barrier-free apartments</w:t>
      </w:r>
      <w:r w:rsidRPr="00C06D94">
        <w:t>.</w:t>
      </w:r>
      <w:r>
        <w:t xml:space="preserve"> </w:t>
      </w:r>
      <w:r w:rsidR="000A0C42" w:rsidRPr="007C2286">
        <w:t xml:space="preserve">In 2018, the Government </w:t>
      </w:r>
      <w:r>
        <w:t>was</w:t>
      </w:r>
      <w:r w:rsidR="000A0C42" w:rsidRPr="007C2286">
        <w:t xml:space="preserve"> presented with the draft articulated text of the law. </w:t>
      </w:r>
      <w:proofErr w:type="gramStart"/>
      <w:r w:rsidR="007C2286">
        <w:t>Taking into account</w:t>
      </w:r>
      <w:proofErr w:type="gramEnd"/>
      <w:r w:rsidR="007C2286">
        <w:t xml:space="preserve"> </w:t>
      </w:r>
      <w:r w:rsidR="00EC4F46" w:rsidRPr="007C2286">
        <w:t>the</w:t>
      </w:r>
      <w:r w:rsidR="007C2286" w:rsidRPr="007C2286">
        <w:t xml:space="preserve"> long-running controversy around</w:t>
      </w:r>
      <w:r w:rsidR="00EC4F46">
        <w:t xml:space="preserve"> the social housing legislation</w:t>
      </w:r>
      <w:r w:rsidR="00664CC4">
        <w:t>,</w:t>
      </w:r>
      <w:r w:rsidR="00EC4F46">
        <w:t xml:space="preserve"> due attention should be pa</w:t>
      </w:r>
      <w:r w:rsidR="00664CC4">
        <w:t xml:space="preserve">yed to communicating the social </w:t>
      </w:r>
      <w:r w:rsidR="001C4261">
        <w:t xml:space="preserve">entrepreneurship legislative proposal with </w:t>
      </w:r>
      <w:r w:rsidR="00C06D94">
        <w:t xml:space="preserve">DPOs and stakeholders across </w:t>
      </w:r>
      <w:r w:rsidR="00664CC4">
        <w:t xml:space="preserve">the </w:t>
      </w:r>
      <w:r w:rsidR="00C06D94">
        <w:t>political spectrum.</w:t>
      </w:r>
    </w:p>
    <w:p w14:paraId="62F933C6" w14:textId="0FD3945B" w:rsidR="005D23F3" w:rsidRPr="007C2286" w:rsidRDefault="005D23F3" w:rsidP="006740A5">
      <w:pPr>
        <w:autoSpaceDE w:val="0"/>
        <w:autoSpaceDN w:val="0"/>
        <w:adjustRightInd w:val="0"/>
        <w:jc w:val="both"/>
      </w:pPr>
    </w:p>
    <w:p w14:paraId="15B94969" w14:textId="20AC1B65" w:rsidR="003B178E" w:rsidRPr="00B25DFD" w:rsidRDefault="006D4276" w:rsidP="006740A5">
      <w:pPr>
        <w:jc w:val="both"/>
      </w:pPr>
      <w:r w:rsidRPr="00B25DFD">
        <w:t xml:space="preserve">As reported earlier, situation of persons with long term mental health problems is </w:t>
      </w:r>
      <w:r w:rsidR="00FD2840" w:rsidRPr="00B25DFD">
        <w:t>un</w:t>
      </w:r>
      <w:r w:rsidRPr="00B25DFD">
        <w:t xml:space="preserve">satisfactory in the Czech Republic. ESIF has been utilised to initiate positive changes in </w:t>
      </w:r>
      <w:r w:rsidR="00882CC3" w:rsidRPr="00B25DFD">
        <w:t xml:space="preserve">the </w:t>
      </w:r>
      <w:r w:rsidRPr="00B25DFD">
        <w:t>mental health sector</w:t>
      </w:r>
      <w:r w:rsidR="00882CC3" w:rsidRPr="00B25DFD">
        <w:t>,</w:t>
      </w:r>
      <w:r w:rsidRPr="00B25DFD">
        <w:t xml:space="preserve"> such as supporting </w:t>
      </w:r>
      <w:r w:rsidR="00882CC3" w:rsidRPr="00B25DFD">
        <w:t xml:space="preserve">a </w:t>
      </w:r>
      <w:r w:rsidR="00D760EE" w:rsidRPr="00B25DFD">
        <w:t>cross-sectoral approach</w:t>
      </w:r>
      <w:r w:rsidRPr="00B25DFD">
        <w:t xml:space="preserve">. </w:t>
      </w:r>
      <w:r w:rsidR="00D760EE" w:rsidRPr="00B25DFD">
        <w:t>In spring 2017 the G</w:t>
      </w:r>
      <w:r w:rsidR="00107FD9" w:rsidRPr="00B25DFD">
        <w:t xml:space="preserve">overnment </w:t>
      </w:r>
      <w:r w:rsidR="00D760EE" w:rsidRPr="00B25DFD">
        <w:t xml:space="preserve">declared </w:t>
      </w:r>
      <w:r w:rsidR="00107FD9" w:rsidRPr="00B25DFD">
        <w:t>to modify the long-term he</w:t>
      </w:r>
      <w:r w:rsidR="00D760EE" w:rsidRPr="00B25DFD">
        <w:t xml:space="preserve">alth care system </w:t>
      </w:r>
      <w:r w:rsidR="00664CC4" w:rsidRPr="00B25DFD">
        <w:lastRenderedPageBreak/>
        <w:t xml:space="preserve">but </w:t>
      </w:r>
      <w:r w:rsidR="00D760EE" w:rsidRPr="00B25DFD">
        <w:t xml:space="preserve">with </w:t>
      </w:r>
      <w:r w:rsidR="00DB1A78" w:rsidRPr="00B25DFD">
        <w:t>incomplete</w:t>
      </w:r>
      <w:r w:rsidR="00D760EE" w:rsidRPr="00B25DFD">
        <w:t xml:space="preserve"> outcomes so far. The psychiatric reform programme fails to achieve expected outcomes</w:t>
      </w:r>
      <w:r w:rsidR="00DB1A78" w:rsidRPr="00B25DFD">
        <w:t xml:space="preserve"> with limited </w:t>
      </w:r>
      <w:r w:rsidR="00DB1A78" w:rsidRPr="009322AE">
        <w:t xml:space="preserve">efficiency </w:t>
      </w:r>
      <w:r w:rsidR="00664CC4" w:rsidRPr="009322AE">
        <w:t>of</w:t>
      </w:r>
      <w:r w:rsidR="00DB1A78" w:rsidRPr="002048CB">
        <w:t xml:space="preserve"> the system</w:t>
      </w:r>
      <w:r w:rsidR="00D760EE" w:rsidRPr="00B25DFD">
        <w:t xml:space="preserve">. There is </w:t>
      </w:r>
      <w:r w:rsidR="00DB1A78" w:rsidRPr="00B25DFD">
        <w:t xml:space="preserve">no </w:t>
      </w:r>
      <w:r w:rsidR="00D760EE" w:rsidRPr="00B25DFD">
        <w:t xml:space="preserve">reference to </w:t>
      </w:r>
      <w:r w:rsidR="00882CC3">
        <w:t xml:space="preserve">the </w:t>
      </w:r>
      <w:r w:rsidR="00D760EE" w:rsidRPr="00B25DFD">
        <w:t>mental health sector in the European Semester review documents</w:t>
      </w:r>
      <w:r w:rsidR="00DB1A78">
        <w:t xml:space="preserve">. </w:t>
      </w:r>
    </w:p>
    <w:p w14:paraId="1C5216E5" w14:textId="5F8F33FB" w:rsidR="001F6793" w:rsidRDefault="001F6793" w:rsidP="006740A5">
      <w:pPr>
        <w:pStyle w:val="Heading1"/>
        <w:jc w:val="both"/>
      </w:pPr>
      <w:bookmarkStart w:id="14" w:name="_Toc528662152"/>
      <w:r>
        <w:lastRenderedPageBreak/>
        <w:t xml:space="preserve">Implementation of </w:t>
      </w:r>
      <w:r w:rsidRPr="001F6793">
        <w:t>the European Structural and Investment Funds (ESIF) in relation to disability</w:t>
      </w:r>
      <w:bookmarkEnd w:id="14"/>
    </w:p>
    <w:p w14:paraId="30F232EF" w14:textId="77777777" w:rsidR="006740A5" w:rsidRDefault="006740A5" w:rsidP="006740A5">
      <w:pPr>
        <w:jc w:val="both"/>
        <w:rPr>
          <w:rFonts w:eastAsia="Calibri"/>
        </w:rPr>
      </w:pPr>
    </w:p>
    <w:p w14:paraId="7CE38C72" w14:textId="5698C4DA" w:rsidR="007F345F" w:rsidRPr="007F345F" w:rsidRDefault="007F345F" w:rsidP="006740A5">
      <w:pPr>
        <w:jc w:val="both"/>
        <w:rPr>
          <w:rFonts w:eastAsia="Calibri"/>
          <w:bCs/>
        </w:rPr>
      </w:pPr>
      <w:r w:rsidRPr="007F345F">
        <w:rPr>
          <w:rFonts w:eastAsia="Calibri"/>
        </w:rPr>
        <w:t>Within the programme period 2014-2020 the Partnership Agreement defines the main priorities.</w:t>
      </w:r>
      <w:r w:rsidRPr="007F345F">
        <w:rPr>
          <w:rFonts w:eastAsia="Calibri"/>
          <w:vertAlign w:val="superscript"/>
        </w:rPr>
        <w:footnoteReference w:id="38"/>
      </w:r>
      <w:r w:rsidR="006740A5">
        <w:rPr>
          <w:rFonts w:eastAsia="Calibri"/>
          <w:vertAlign w:val="superscript"/>
        </w:rPr>
        <w:t xml:space="preserve"> </w:t>
      </w:r>
      <w:r w:rsidRPr="007F345F">
        <w:rPr>
          <w:rFonts w:eastAsia="Calibri"/>
        </w:rPr>
        <w:t xml:space="preserve">The draft Czech Partnership Agreement was discussed by the Government in 2013 and approved by the Commission in 2014. </w:t>
      </w:r>
      <w:r w:rsidRPr="007F345F">
        <w:rPr>
          <w:rFonts w:eastAsia="Calibri"/>
          <w:bCs/>
        </w:rPr>
        <w:t>For the programme period 2014-2020 a total budget of nearly €24bn was allocated from the European Structural and Investment (ESI) Funds for the Czech Republic.</w:t>
      </w:r>
      <w:r w:rsidRPr="007F345F">
        <w:rPr>
          <w:rFonts w:eastAsia="Calibri"/>
          <w:bCs/>
          <w:vertAlign w:val="superscript"/>
        </w:rPr>
        <w:footnoteReference w:id="39"/>
      </w:r>
      <w:r w:rsidRPr="007F345F">
        <w:rPr>
          <w:rFonts w:eastAsia="Calibri"/>
          <w:bCs/>
        </w:rPr>
        <w:t xml:space="preserve"> </w:t>
      </w:r>
    </w:p>
    <w:p w14:paraId="41A1C16C" w14:textId="77777777" w:rsidR="006740A5" w:rsidRDefault="006740A5" w:rsidP="006740A5">
      <w:pPr>
        <w:jc w:val="both"/>
        <w:rPr>
          <w:rFonts w:eastAsia="Calibri"/>
          <w:bCs/>
        </w:rPr>
      </w:pPr>
    </w:p>
    <w:p w14:paraId="408FDA2A" w14:textId="3DC4CAB8" w:rsidR="007F345F" w:rsidRPr="007F345F" w:rsidRDefault="007F345F" w:rsidP="006740A5">
      <w:pPr>
        <w:jc w:val="both"/>
        <w:rPr>
          <w:rFonts w:eastAsia="Calibri"/>
          <w:bCs/>
          <w:color w:val="1A1F2A"/>
        </w:rPr>
      </w:pPr>
      <w:r w:rsidRPr="007F345F">
        <w:rPr>
          <w:rFonts w:eastAsia="Calibri"/>
          <w:bCs/>
        </w:rPr>
        <w:t>In the previous 2007-2013 period, the Czech Republic had the opportunity to spend more than €26bn. In contrast with the new programme period the</w:t>
      </w:r>
      <w:r w:rsidRPr="007F345F">
        <w:rPr>
          <w:rFonts w:eastAsia="Calibri"/>
          <w:bCs/>
          <w:color w:val="1A1F2A"/>
        </w:rPr>
        <w:t xml:space="preserve"> Czech Republic made use of 26 Operational Programmes (OPs), including 7 regional operational programmes (ROPs) and 8 thematic OPs. ROPs were established </w:t>
      </w:r>
      <w:proofErr w:type="gramStart"/>
      <w:r w:rsidRPr="007F345F">
        <w:rPr>
          <w:rFonts w:eastAsia="Calibri"/>
          <w:bCs/>
          <w:color w:val="1A1F2A"/>
        </w:rPr>
        <w:t>on the basis of</w:t>
      </w:r>
      <w:proofErr w:type="gramEnd"/>
      <w:r w:rsidRPr="007F345F">
        <w:rPr>
          <w:rFonts w:eastAsia="Calibri"/>
          <w:bCs/>
          <w:color w:val="1A1F2A"/>
        </w:rPr>
        <w:t xml:space="preserve"> NUTS II regions, except the Capital City of Prague which did not fall into the definition of less advanced regions. Within the thematic OPs there were specifically two (OP Human Resources and Employment, OP Education for Competitiveness) that focused on topics such as equal opportunities, employment and employability, deinstitutionalisation and innovative social services, and social inclusion in general. The topics of universal design were present also in the OP Enterprise and Innovation, OP Research and Development of Innovations and Integrated OP. </w:t>
      </w:r>
      <w:r w:rsidRPr="007F345F">
        <w:rPr>
          <w:rFonts w:eastAsia="Calibri"/>
          <w:bCs/>
        </w:rPr>
        <w:t xml:space="preserve">An Ex post evaluation report on </w:t>
      </w:r>
      <w:r w:rsidRPr="007F345F">
        <w:rPr>
          <w:rFonts w:eastAsia="Calibri"/>
          <w:bCs/>
          <w:i/>
          <w:iCs/>
        </w:rPr>
        <w:t>Cohesion Policy and its benefits for the Czech Republic and for the EU</w:t>
      </w:r>
      <w:r w:rsidRPr="007F345F">
        <w:rPr>
          <w:rFonts w:eastAsia="Calibri"/>
          <w:bCs/>
        </w:rPr>
        <w:t xml:space="preserve"> was obtained. This evidenced the overall benefits but did not focus on the topic of disability as such. To our knowledge no equality Impact Assessment has been conducted but, from the list of implemented projects, it is obvious that many of them were implemented to support inclusion of persons with disabilities.</w:t>
      </w:r>
      <w:r w:rsidRPr="007F345F">
        <w:rPr>
          <w:rFonts w:eastAsia="Calibri"/>
          <w:bCs/>
          <w:vertAlign w:val="superscript"/>
        </w:rPr>
        <w:footnoteReference w:id="40"/>
      </w:r>
    </w:p>
    <w:p w14:paraId="3458D0A1" w14:textId="77777777" w:rsidR="006740A5" w:rsidRDefault="006740A5" w:rsidP="006740A5">
      <w:pPr>
        <w:jc w:val="both"/>
        <w:rPr>
          <w:rFonts w:eastAsia="Calibri"/>
          <w:bCs/>
          <w:color w:val="1A1F2A"/>
        </w:rPr>
      </w:pPr>
    </w:p>
    <w:p w14:paraId="69B154B2" w14:textId="75861822" w:rsidR="007F345F" w:rsidRPr="007F345F" w:rsidRDefault="007F345F" w:rsidP="006740A5">
      <w:pPr>
        <w:jc w:val="both"/>
        <w:rPr>
          <w:rFonts w:eastAsia="Times New Roman"/>
          <w:iCs/>
          <w:color w:val="1A1F2A"/>
          <w:lang w:eastAsia="cs-CZ"/>
        </w:rPr>
      </w:pPr>
      <w:r w:rsidRPr="007F345F">
        <w:rPr>
          <w:rFonts w:eastAsia="Calibri"/>
          <w:bCs/>
          <w:color w:val="1A1F2A"/>
        </w:rPr>
        <w:t xml:space="preserve">Within the theme </w:t>
      </w:r>
      <w:r w:rsidRPr="007F345F">
        <w:rPr>
          <w:rFonts w:eastAsia="Calibri"/>
          <w:b/>
          <w:bCs/>
          <w:color w:val="1A1F2A"/>
        </w:rPr>
        <w:t>‘Education’</w:t>
      </w:r>
      <w:r w:rsidRPr="007F345F">
        <w:rPr>
          <w:rFonts w:eastAsia="Calibri"/>
          <w:bCs/>
          <w:color w:val="1A1F2A"/>
        </w:rPr>
        <w:t xml:space="preserve"> </w:t>
      </w:r>
      <w:r w:rsidRPr="007F345F">
        <w:rPr>
          <w:rFonts w:eastAsia="Times New Roman"/>
          <w:iCs/>
          <w:color w:val="1A1F2A"/>
          <w:lang w:eastAsia="cs-CZ"/>
        </w:rPr>
        <w:t>90% of elementary and 70% of high schools (9 out of 10 elementary and 3 out of 4 high schools) were supported in modernisation of classes and teaching. There were 1,619,258 university students supported, included by financial inputs of Support Centres for university students with special needs.</w:t>
      </w:r>
    </w:p>
    <w:p w14:paraId="530B2FE4" w14:textId="77777777" w:rsidR="007F345F" w:rsidRPr="007F345F" w:rsidRDefault="007F345F" w:rsidP="006740A5">
      <w:pPr>
        <w:jc w:val="both"/>
        <w:rPr>
          <w:rFonts w:eastAsia="Times New Roman"/>
          <w:iCs/>
          <w:color w:val="1A1F2A"/>
          <w:lang w:eastAsia="cs-CZ"/>
        </w:rPr>
      </w:pPr>
      <w:r w:rsidRPr="007F345F">
        <w:rPr>
          <w:rFonts w:eastAsia="Times New Roman"/>
          <w:iCs/>
          <w:color w:val="1A1F2A"/>
          <w:lang w:eastAsia="cs-CZ"/>
        </w:rPr>
        <w:t>One of the successfully implemented projects in the previous programme period focused on supporting university students and mainstream school teachers called ‘Systematic support on Inclusive education in the Czech Republic’, which focused on developing guidelines for supporting children, pupils and students with special educational needs across the levels of education from preschool, through primary to secondary education.</w:t>
      </w:r>
      <w:r w:rsidRPr="007F345F">
        <w:rPr>
          <w:rFonts w:eastAsia="Times New Roman"/>
          <w:iCs/>
          <w:color w:val="1A1F2A"/>
          <w:vertAlign w:val="superscript"/>
          <w:lang w:eastAsia="cs-CZ"/>
        </w:rPr>
        <w:footnoteReference w:id="41"/>
      </w:r>
      <w:r w:rsidRPr="007F345F">
        <w:rPr>
          <w:rFonts w:eastAsia="Times New Roman"/>
          <w:iCs/>
          <w:color w:val="1A1F2A"/>
          <w:lang w:eastAsia="cs-CZ"/>
        </w:rPr>
        <w:t xml:space="preserve"> An important outcome are so called Catalogues of supported measures developed specifically for children who live with different type of disabilities. These have been recently widely used by teachers, counsellors from assessment centres, parents, assistant teachers, coordinators of inclusion at schools, and other workers working with students with SEN in mainstream schools. </w:t>
      </w:r>
      <w:r w:rsidRPr="007F345F">
        <w:rPr>
          <w:rFonts w:eastAsia="Times New Roman"/>
          <w:iCs/>
          <w:color w:val="1A1F2A"/>
          <w:lang w:eastAsia="cs-CZ"/>
        </w:rPr>
        <w:lastRenderedPageBreak/>
        <w:t xml:space="preserve">The catalogues also provide an overview of recently implemented school legislation (Education Act, 2016 and Decree 27/2016) that highlight inclusion and stand as a general guideline for all stakeholders. </w:t>
      </w:r>
    </w:p>
    <w:p w14:paraId="4FC18C42" w14:textId="77777777" w:rsidR="006740A5" w:rsidRDefault="006740A5" w:rsidP="006740A5">
      <w:pPr>
        <w:jc w:val="both"/>
        <w:rPr>
          <w:rFonts w:eastAsia="Times New Roman"/>
          <w:iCs/>
          <w:color w:val="1A1F2A"/>
          <w:lang w:eastAsia="cs-CZ"/>
        </w:rPr>
      </w:pPr>
    </w:p>
    <w:p w14:paraId="6F392800" w14:textId="4E488921" w:rsidR="007F345F" w:rsidRPr="007F345F" w:rsidRDefault="007F345F" w:rsidP="006740A5">
      <w:pPr>
        <w:jc w:val="both"/>
        <w:rPr>
          <w:rFonts w:eastAsia="Times New Roman"/>
          <w:color w:val="1A1F2A"/>
          <w:lang w:eastAsia="cs-CZ"/>
        </w:rPr>
      </w:pPr>
      <w:r w:rsidRPr="007F345F">
        <w:rPr>
          <w:rFonts w:eastAsia="Times New Roman"/>
          <w:iCs/>
          <w:color w:val="1A1F2A"/>
          <w:lang w:eastAsia="cs-CZ"/>
        </w:rPr>
        <w:t>With the help of EU Funds, the Czech Republic was able to: reconstruct, make barrier free, build or extend facilities for education in an area of 4,19,098m</w:t>
      </w:r>
      <w:r w:rsidRPr="007F345F">
        <w:rPr>
          <w:rFonts w:eastAsia="Times New Roman"/>
          <w:iCs/>
          <w:color w:val="1A1F2A"/>
          <w:vertAlign w:val="superscript"/>
          <w:lang w:eastAsia="cs-CZ"/>
        </w:rPr>
        <w:t>2</w:t>
      </w:r>
      <w:r w:rsidRPr="007F345F">
        <w:rPr>
          <w:rFonts w:eastAsia="Times New Roman"/>
          <w:iCs/>
          <w:color w:val="1A1F2A"/>
          <w:lang w:eastAsia="cs-CZ"/>
        </w:rPr>
        <w:t>.</w:t>
      </w:r>
    </w:p>
    <w:p w14:paraId="7EC07099" w14:textId="77777777" w:rsidR="007F345F" w:rsidRPr="007F345F" w:rsidRDefault="007F345F" w:rsidP="006740A5">
      <w:pPr>
        <w:jc w:val="both"/>
        <w:rPr>
          <w:rFonts w:eastAsia="Times New Roman"/>
          <w:color w:val="1A1F2A"/>
          <w:lang w:eastAsia="cs-CZ"/>
        </w:rPr>
      </w:pPr>
      <w:r w:rsidRPr="007F345F">
        <w:rPr>
          <w:rFonts w:eastAsia="Calibri"/>
          <w:bCs/>
          <w:color w:val="1A1F2A"/>
        </w:rPr>
        <w:t xml:space="preserve">Within the theme </w:t>
      </w:r>
      <w:r w:rsidRPr="007F345F">
        <w:rPr>
          <w:rFonts w:eastAsia="Calibri"/>
          <w:b/>
          <w:bCs/>
          <w:color w:val="1A1F2A"/>
        </w:rPr>
        <w:t>‘Social Affairs</w:t>
      </w:r>
      <w:r w:rsidRPr="007F345F">
        <w:rPr>
          <w:rFonts w:eastAsia="Calibri"/>
          <w:bCs/>
          <w:color w:val="1A1F2A"/>
        </w:rPr>
        <w:t>’</w:t>
      </w:r>
      <w:r w:rsidRPr="007F345F">
        <w:rPr>
          <w:rFonts w:eastAsia="Times New Roman"/>
          <w:color w:val="1A1F2A"/>
          <w:lang w:eastAsia="cs-CZ"/>
        </w:rPr>
        <w:t xml:space="preserve"> there were 111 new social services and activities created in the Czech Republic with the help of EU Funds from the previous programming period.</w:t>
      </w:r>
    </w:p>
    <w:p w14:paraId="48208BFF" w14:textId="77777777" w:rsidR="006740A5" w:rsidRDefault="006740A5" w:rsidP="006740A5">
      <w:pPr>
        <w:jc w:val="both"/>
        <w:rPr>
          <w:rFonts w:eastAsia="Times New Roman"/>
          <w:color w:val="1A1F2A"/>
          <w:lang w:eastAsia="cs-CZ"/>
        </w:rPr>
      </w:pPr>
    </w:p>
    <w:p w14:paraId="37AC8D4D" w14:textId="412D2E07" w:rsidR="007F345F" w:rsidRDefault="007F345F" w:rsidP="006740A5">
      <w:pPr>
        <w:jc w:val="both"/>
        <w:rPr>
          <w:rFonts w:eastAsia="Calibri"/>
        </w:rPr>
      </w:pPr>
      <w:r w:rsidRPr="007F345F">
        <w:rPr>
          <w:rFonts w:eastAsia="Times New Roman"/>
          <w:color w:val="1A1F2A"/>
          <w:lang w:eastAsia="cs-CZ"/>
        </w:rPr>
        <w:t>One of the successfully implemented projects was a project focused on deinstitutionalisation of residential social services called TRASS.</w:t>
      </w:r>
      <w:r w:rsidRPr="007F345F">
        <w:rPr>
          <w:rFonts w:eastAsia="Times New Roman"/>
          <w:color w:val="1A1F2A"/>
          <w:vertAlign w:val="superscript"/>
          <w:lang w:eastAsia="cs-CZ"/>
        </w:rPr>
        <w:footnoteReference w:id="42"/>
      </w:r>
      <w:r w:rsidRPr="007F345F">
        <w:rPr>
          <w:rFonts w:eastAsia="Times New Roman"/>
          <w:color w:val="1A1F2A"/>
          <w:lang w:eastAsia="cs-CZ"/>
        </w:rPr>
        <w:t xml:space="preserve"> </w:t>
      </w:r>
      <w:r w:rsidRPr="007F345F">
        <w:rPr>
          <w:rFonts w:eastAsia="Calibri"/>
          <w:color w:val="0D0C0C"/>
        </w:rPr>
        <w:t>The Czech Ministry of Labour and Social Affairs (</w:t>
      </w:r>
      <w:proofErr w:type="spellStart"/>
      <w:r w:rsidRPr="007F345F">
        <w:rPr>
          <w:rFonts w:eastAsia="Calibri"/>
          <w:color w:val="0D0C0C"/>
        </w:rPr>
        <w:t>MoLSA</w:t>
      </w:r>
      <w:proofErr w:type="spellEnd"/>
      <w:r w:rsidRPr="007F345F">
        <w:rPr>
          <w:rFonts w:eastAsia="Calibri"/>
          <w:color w:val="0D0C0C"/>
        </w:rPr>
        <w:t>) has been supporting the process of transformation and de-institutionalization of social care services on a long-term basis. It should be however noted that t</w:t>
      </w:r>
      <w:r w:rsidRPr="007F345F">
        <w:rPr>
          <w:rFonts w:eastAsia="Calibri"/>
        </w:rPr>
        <w:t xml:space="preserve">ransformation and de-institutionalisation has been prolonged and financially highly demanding. </w:t>
      </w:r>
      <w:proofErr w:type="spellStart"/>
      <w:r w:rsidRPr="007F345F">
        <w:rPr>
          <w:rFonts w:eastAsia="Calibri"/>
        </w:rPr>
        <w:t>MoLSA</w:t>
      </w:r>
      <w:proofErr w:type="spellEnd"/>
      <w:r w:rsidRPr="007F345F">
        <w:rPr>
          <w:rFonts w:eastAsia="Calibri"/>
        </w:rPr>
        <w:t xml:space="preserve"> sees causes of unfordable progress in</w:t>
      </w:r>
      <w:r w:rsidR="00952BA4">
        <w:rPr>
          <w:rFonts w:eastAsia="Calibri"/>
        </w:rPr>
        <w:t xml:space="preserve"> </w:t>
      </w:r>
      <w:r w:rsidRPr="007F345F">
        <w:rPr>
          <w:rFonts w:eastAsia="Calibri"/>
        </w:rPr>
        <w:t>deinstitutionalisation in increasing financial subsidies for residential social services, difficulty to control efficient use of subsidies, significant administrative burden on subsidies faced by service providers, especially for those providers which claim subsidies from more than one regional authority, subsidies are guaranteed for one year only.</w:t>
      </w:r>
      <w:r w:rsidRPr="007F345F">
        <w:rPr>
          <w:rFonts w:eastAsia="Calibri"/>
          <w:vertAlign w:val="superscript"/>
        </w:rPr>
        <w:footnoteReference w:id="43"/>
      </w:r>
    </w:p>
    <w:p w14:paraId="6ECD8644" w14:textId="77777777" w:rsidR="006740A5" w:rsidRPr="007F345F" w:rsidRDefault="006740A5" w:rsidP="006740A5">
      <w:pPr>
        <w:jc w:val="both"/>
        <w:rPr>
          <w:rFonts w:eastAsia="Calibri"/>
          <w:color w:val="0D0C0C"/>
        </w:rPr>
      </w:pPr>
    </w:p>
    <w:p w14:paraId="71B59637" w14:textId="77777777" w:rsidR="007F345F" w:rsidRPr="007F345F" w:rsidRDefault="007F345F" w:rsidP="006740A5">
      <w:pPr>
        <w:jc w:val="both"/>
        <w:rPr>
          <w:rFonts w:eastAsia="Calibri"/>
          <w:i/>
          <w:color w:val="0D0C0C"/>
        </w:rPr>
      </w:pPr>
      <w:r w:rsidRPr="007F345F">
        <w:rPr>
          <w:rFonts w:eastAsia="Calibri"/>
          <w:color w:val="0D0C0C"/>
        </w:rPr>
        <w:t>The strategy of replacing institutional care for people with disabilities with community-based care is nationwide and based not only on Czech legislation but on implementation of the UN CRPD and the reports of the European De-institutionalisation Expert Group.</w:t>
      </w:r>
      <w:r w:rsidRPr="00952BA4">
        <w:rPr>
          <w:rFonts w:eastAsia="Calibri"/>
          <w:color w:val="0D0C0C"/>
          <w:vertAlign w:val="superscript"/>
        </w:rPr>
        <w:footnoteReference w:id="44"/>
      </w:r>
      <w:r w:rsidRPr="00952BA4">
        <w:rPr>
          <w:rFonts w:eastAsia="Calibri"/>
          <w:color w:val="0D0C0C"/>
          <w:vertAlign w:val="superscript"/>
        </w:rPr>
        <w:t xml:space="preserve"> </w:t>
      </w:r>
      <w:r w:rsidRPr="007F345F">
        <w:rPr>
          <w:rFonts w:eastAsia="Calibri"/>
          <w:color w:val="0D0C0C"/>
        </w:rPr>
        <w:t>Specific Guidelines for deinstitutionalisation and community care in the Czech Republic had been available since 2012 under the title Attributes and guidel</w:t>
      </w:r>
      <w:r w:rsidRPr="007F345F">
        <w:rPr>
          <w:rFonts w:eastAsia="Calibri"/>
          <w:i/>
          <w:color w:val="0D0C0C"/>
        </w:rPr>
        <w:t>ines related to deinstitutionalisation (transition from institutional to community-based care</w:t>
      </w:r>
      <w:r w:rsidRPr="00952BA4">
        <w:rPr>
          <w:rFonts w:eastAsia="Calibri"/>
          <w:color w:val="0D0C0C"/>
        </w:rPr>
        <w:t>.</w:t>
      </w:r>
      <w:r w:rsidRPr="00952BA4">
        <w:rPr>
          <w:rFonts w:eastAsia="Calibri"/>
          <w:color w:val="0D0C0C"/>
          <w:vertAlign w:val="superscript"/>
        </w:rPr>
        <w:footnoteReference w:id="45"/>
      </w:r>
      <w:r w:rsidRPr="00952BA4">
        <w:rPr>
          <w:rFonts w:eastAsia="Calibri"/>
          <w:color w:val="0D0C0C"/>
        </w:rPr>
        <w:t xml:space="preserve"> </w:t>
      </w:r>
    </w:p>
    <w:p w14:paraId="1598A39B" w14:textId="77777777" w:rsidR="006740A5" w:rsidRDefault="006740A5" w:rsidP="006740A5">
      <w:pPr>
        <w:jc w:val="both"/>
        <w:rPr>
          <w:rFonts w:eastAsia="Times New Roman"/>
          <w:iCs/>
          <w:color w:val="1A1F2A"/>
          <w:lang w:eastAsia="cs-CZ"/>
        </w:rPr>
      </w:pPr>
    </w:p>
    <w:p w14:paraId="5E50B49D" w14:textId="5DA4C7FA" w:rsidR="007F345F" w:rsidRPr="007F345F" w:rsidRDefault="007F345F" w:rsidP="006740A5">
      <w:pPr>
        <w:jc w:val="both"/>
        <w:rPr>
          <w:rFonts w:eastAsia="Times New Roman"/>
          <w:iCs/>
          <w:color w:val="1A1F2A"/>
          <w:lang w:eastAsia="cs-CZ"/>
        </w:rPr>
      </w:pPr>
      <w:r w:rsidRPr="007F345F">
        <w:rPr>
          <w:rFonts w:eastAsia="Times New Roman"/>
          <w:iCs/>
          <w:color w:val="1A1F2A"/>
          <w:lang w:eastAsia="cs-CZ"/>
        </w:rPr>
        <w:t>With the help of EU Funds, 100,997 new jobs were created. There are no statistics on how many jobs were created for the target group of persons with disabilities but based on evidence of the implemented projects (</w:t>
      </w:r>
      <w:r w:rsidRPr="007F345F">
        <w:rPr>
          <w:rFonts w:eastAsia="Calibri"/>
          <w:color w:val="222222"/>
        </w:rPr>
        <w:t>a systematic motivation program, to work is ‘normal’, Training Cafe ‘Atrium’, etc.)</w:t>
      </w:r>
      <w:r w:rsidRPr="007F345F">
        <w:rPr>
          <w:rFonts w:eastAsia="Calibri"/>
          <w:color w:val="222222"/>
          <w:vertAlign w:val="superscript"/>
        </w:rPr>
        <w:footnoteReference w:id="46"/>
      </w:r>
      <w:r w:rsidRPr="007F345F">
        <w:rPr>
          <w:rFonts w:eastAsia="Calibri"/>
          <w:color w:val="222222"/>
        </w:rPr>
        <w:t xml:space="preserve"> i</w:t>
      </w:r>
      <w:r w:rsidRPr="007F345F">
        <w:rPr>
          <w:rFonts w:eastAsia="Times New Roman"/>
          <w:iCs/>
          <w:color w:val="1A1F2A"/>
          <w:lang w:eastAsia="cs-CZ"/>
        </w:rPr>
        <w:t>t is evident that many of them were specifically focused on increasing employment opportunities for persons with disabilities, either in semi-sheltered (training places in social enterprises with transition programmes that assist people to find an employer at the open labour market, provide assistance for certain time and also train a new employer in providing efficient support to an employee with disability) or open labour market environments.</w:t>
      </w:r>
    </w:p>
    <w:p w14:paraId="0ED161FB" w14:textId="77777777" w:rsidR="006740A5" w:rsidRDefault="006740A5" w:rsidP="006740A5">
      <w:pPr>
        <w:jc w:val="both"/>
        <w:rPr>
          <w:rFonts w:eastAsia="Calibri"/>
          <w:bCs/>
        </w:rPr>
      </w:pPr>
    </w:p>
    <w:p w14:paraId="592DD5F5" w14:textId="1BC9265C" w:rsidR="007F345F" w:rsidRPr="007F345F" w:rsidRDefault="007F345F" w:rsidP="006740A5">
      <w:pPr>
        <w:jc w:val="both"/>
        <w:rPr>
          <w:rFonts w:eastAsia="Calibri"/>
          <w:bCs/>
        </w:rPr>
      </w:pPr>
      <w:r w:rsidRPr="007F345F">
        <w:rPr>
          <w:rFonts w:eastAsia="Calibri"/>
          <w:bCs/>
        </w:rPr>
        <w:lastRenderedPageBreak/>
        <w:t xml:space="preserve">For the </w:t>
      </w:r>
      <w:r w:rsidRPr="007F345F">
        <w:rPr>
          <w:rFonts w:eastAsia="Calibri"/>
          <w:b/>
          <w:bCs/>
        </w:rPr>
        <w:t>programming period 2014-2020</w:t>
      </w:r>
      <w:r w:rsidRPr="007F345F">
        <w:rPr>
          <w:rFonts w:eastAsia="Calibri"/>
          <w:bCs/>
        </w:rPr>
        <w:t xml:space="preserve"> there are three thematic operational programmes (OPs) within which disability is considered. </w:t>
      </w:r>
      <w:r w:rsidRPr="007F345F">
        <w:rPr>
          <w:rFonts w:eastAsia="Calibri"/>
          <w:b/>
          <w:bCs/>
          <w:i/>
        </w:rPr>
        <w:t>The OP Research, Development and Education</w:t>
      </w:r>
      <w:r w:rsidRPr="007F345F">
        <w:rPr>
          <w:rFonts w:eastAsia="Calibri"/>
          <w:bCs/>
        </w:rPr>
        <w:t xml:space="preserve"> includes this in a broad sense across all levels of education from preschool facilities, through primary schools, secondary schools to universities. </w:t>
      </w:r>
      <w:r w:rsidRPr="007F345F">
        <w:rPr>
          <w:rFonts w:eastAsia="Calibri"/>
          <w:b/>
          <w:bCs/>
          <w:i/>
        </w:rPr>
        <w:t>The OP Employment</w:t>
      </w:r>
      <w:r w:rsidRPr="007F345F">
        <w:rPr>
          <w:rFonts w:eastAsia="Calibri"/>
          <w:bCs/>
        </w:rPr>
        <w:t xml:space="preserve"> supports the idea of social inclusion through co-financing projects focused on establishing jobs and job training opportunities also for persons with disabilities. </w:t>
      </w:r>
      <w:r w:rsidRPr="007F345F">
        <w:rPr>
          <w:rFonts w:eastAsia="Calibri"/>
          <w:b/>
          <w:bCs/>
          <w:i/>
        </w:rPr>
        <w:t>An Integrated Regional OP</w:t>
      </w:r>
      <w:r w:rsidRPr="007F345F">
        <w:rPr>
          <w:rFonts w:eastAsia="Calibri"/>
          <w:bCs/>
        </w:rPr>
        <w:t xml:space="preserve"> takes disability into consideration by supporting either soft projects or investment projects through topics of inclusion, barrier free environment and universal design in general.</w:t>
      </w:r>
    </w:p>
    <w:p w14:paraId="08C58FCA" w14:textId="77777777" w:rsidR="006740A5" w:rsidRDefault="006740A5" w:rsidP="006740A5">
      <w:pPr>
        <w:autoSpaceDE w:val="0"/>
        <w:autoSpaceDN w:val="0"/>
        <w:adjustRightInd w:val="0"/>
        <w:jc w:val="both"/>
        <w:rPr>
          <w:rFonts w:eastAsia="Calibri"/>
          <w:bCs/>
        </w:rPr>
      </w:pPr>
    </w:p>
    <w:p w14:paraId="4E75F98F" w14:textId="11A88366" w:rsidR="007F345F" w:rsidRPr="007F345F" w:rsidRDefault="007F345F" w:rsidP="006740A5">
      <w:pPr>
        <w:autoSpaceDE w:val="0"/>
        <w:autoSpaceDN w:val="0"/>
        <w:adjustRightInd w:val="0"/>
        <w:jc w:val="both"/>
        <w:rPr>
          <w:rFonts w:eastAsia="Arial"/>
          <w:color w:val="000000"/>
        </w:rPr>
      </w:pPr>
      <w:r w:rsidRPr="007F345F">
        <w:rPr>
          <w:rFonts w:eastAsia="Calibri"/>
          <w:bCs/>
        </w:rPr>
        <w:t xml:space="preserve">All the Operational programmes in the new programme period were created with respect to important national and international strategic documents and treaties such as the UN CRPD and the </w:t>
      </w:r>
      <w:r w:rsidRPr="007F345F">
        <w:rPr>
          <w:rFonts w:eastAsia="Calibri"/>
          <w:color w:val="222222"/>
        </w:rPr>
        <w:t xml:space="preserve">National Disability Plan 2015-2020. </w:t>
      </w:r>
      <w:r w:rsidRPr="007F345F">
        <w:rPr>
          <w:rFonts w:eastAsia="Arial"/>
          <w:color w:val="000000"/>
        </w:rPr>
        <w:t>Based on these documents, and in compliance with a goal to strengthen t</w:t>
      </w:r>
      <w:r w:rsidRPr="007F345F">
        <w:rPr>
          <w:rFonts w:eastAsia="Calibri"/>
          <w:color w:val="000000"/>
        </w:rPr>
        <w:t>he strategic management (from creation of strategies to preparation and implementation of programmes and projects),</w:t>
      </w:r>
      <w:r w:rsidRPr="007F345F">
        <w:rPr>
          <w:rFonts w:eastAsia="Calibri"/>
          <w:i/>
          <w:color w:val="000000"/>
        </w:rPr>
        <w:t xml:space="preserve"> a </w:t>
      </w:r>
      <w:r w:rsidRPr="007F345F">
        <w:rPr>
          <w:rFonts w:eastAsia="Arial"/>
          <w:color w:val="000000"/>
        </w:rPr>
        <w:t xml:space="preserve">much stronger emphasis is placed on their implementation when asking for financial support via any of the national or EU funds programmes. Therefore projects, overall, now more include disability and universal design topics. </w:t>
      </w:r>
    </w:p>
    <w:p w14:paraId="47981C1F" w14:textId="77777777" w:rsidR="006740A5" w:rsidRDefault="006740A5" w:rsidP="006740A5">
      <w:pPr>
        <w:autoSpaceDE w:val="0"/>
        <w:autoSpaceDN w:val="0"/>
        <w:adjustRightInd w:val="0"/>
        <w:jc w:val="both"/>
        <w:rPr>
          <w:rFonts w:eastAsia="Arial"/>
          <w:color w:val="000000"/>
        </w:rPr>
      </w:pPr>
    </w:p>
    <w:p w14:paraId="1EF3CFD3" w14:textId="3F145897" w:rsidR="007F345F" w:rsidRPr="007F345F" w:rsidRDefault="007F345F" w:rsidP="006740A5">
      <w:pPr>
        <w:autoSpaceDE w:val="0"/>
        <w:autoSpaceDN w:val="0"/>
        <w:adjustRightInd w:val="0"/>
        <w:jc w:val="both"/>
        <w:rPr>
          <w:rFonts w:eastAsia="Calibri"/>
          <w:color w:val="222222"/>
        </w:rPr>
      </w:pPr>
      <w:r w:rsidRPr="007F345F">
        <w:rPr>
          <w:rFonts w:eastAsia="Arial"/>
          <w:color w:val="000000"/>
        </w:rPr>
        <w:t xml:space="preserve">Project proposers and managers, from public authorities as well as third sector organisations, needs to prove they include such topics into their short term and </w:t>
      </w:r>
      <w:r w:rsidR="006740A5" w:rsidRPr="007F345F">
        <w:rPr>
          <w:rFonts w:eastAsia="Arial"/>
          <w:color w:val="000000"/>
        </w:rPr>
        <w:t>long-term</w:t>
      </w:r>
      <w:r w:rsidRPr="007F345F">
        <w:rPr>
          <w:rFonts w:eastAsia="Arial"/>
          <w:color w:val="000000"/>
        </w:rPr>
        <w:t xml:space="preserve"> plans and that their activities comply with the key national and international disability frameworks. Inclusive policies as such are more visible in the current programme period. As an example of good practice, regional authorities and some of the municipalities started to work on their regional or municipal plans </w:t>
      </w:r>
      <w:r w:rsidRPr="007F345F">
        <w:rPr>
          <w:rFonts w:eastAsia="Calibri"/>
          <w:color w:val="222222"/>
        </w:rPr>
        <w:t>for creation of equal opportunities for people with disabilities. When creating such plans</w:t>
      </w:r>
      <w:r w:rsidR="006740A5">
        <w:rPr>
          <w:rFonts w:eastAsia="Calibri"/>
          <w:color w:val="222222"/>
        </w:rPr>
        <w:t>,</w:t>
      </w:r>
      <w:r w:rsidRPr="007F345F">
        <w:rPr>
          <w:rFonts w:eastAsia="Calibri"/>
          <w:color w:val="222222"/>
        </w:rPr>
        <w:t xml:space="preserve"> they closely cooperate with the main disability stakeholders from disabled people’s organisations and the process of developing and accepting such plans is widely discussed across the authority bodies (health care, education, social affairs, infrastructure, transport, etc.) via open tables where the relevant stakeholders are invited.</w:t>
      </w:r>
    </w:p>
    <w:p w14:paraId="6D9C7968" w14:textId="77777777" w:rsidR="006740A5" w:rsidRDefault="006740A5" w:rsidP="006740A5">
      <w:pPr>
        <w:autoSpaceDE w:val="0"/>
        <w:autoSpaceDN w:val="0"/>
        <w:adjustRightInd w:val="0"/>
        <w:jc w:val="both"/>
        <w:rPr>
          <w:rFonts w:eastAsia="Calibri"/>
          <w:color w:val="222222"/>
        </w:rPr>
      </w:pPr>
    </w:p>
    <w:p w14:paraId="0A788236" w14:textId="2972632F" w:rsidR="007F345F" w:rsidRDefault="007F345F" w:rsidP="006740A5">
      <w:pPr>
        <w:autoSpaceDE w:val="0"/>
        <w:autoSpaceDN w:val="0"/>
        <w:adjustRightInd w:val="0"/>
        <w:jc w:val="both"/>
        <w:rPr>
          <w:rFonts w:eastAsia="Times New Roman"/>
          <w:color w:val="000000"/>
          <w:vertAlign w:val="superscript"/>
          <w:lang w:eastAsia="cs-CZ"/>
        </w:rPr>
      </w:pPr>
      <w:r w:rsidRPr="007F345F">
        <w:rPr>
          <w:rFonts w:eastAsia="Calibri"/>
          <w:color w:val="222222"/>
        </w:rPr>
        <w:t xml:space="preserve">In the Czech Partnership Agreement, </w:t>
      </w:r>
      <w:r w:rsidRPr="007F345F">
        <w:rPr>
          <w:rFonts w:eastAsia="Times New Roman"/>
          <w:color w:val="000000"/>
          <w:lang w:eastAsia="cs-CZ"/>
        </w:rPr>
        <w:t>the</w:t>
      </w:r>
      <w:r w:rsidRPr="007F345F">
        <w:rPr>
          <w:rFonts w:eastAsia="Calibri"/>
          <w:color w:val="222222"/>
        </w:rPr>
        <w:t xml:space="preserve"> topic of equality and </w:t>
      </w:r>
      <w:proofErr w:type="gramStart"/>
      <w:r w:rsidRPr="007F345F">
        <w:rPr>
          <w:rFonts w:eastAsia="Calibri"/>
          <w:color w:val="222222"/>
        </w:rPr>
        <w:t>more or less disability</w:t>
      </w:r>
      <w:proofErr w:type="gramEnd"/>
      <w:r w:rsidRPr="007F345F">
        <w:rPr>
          <w:rFonts w:eastAsia="Calibri"/>
          <w:color w:val="222222"/>
        </w:rPr>
        <w:t xml:space="preserve"> topics appear in objectives 1, 7, 8, 9 and 10, as follows:</w:t>
      </w:r>
      <w:r w:rsidRPr="007F345F">
        <w:rPr>
          <w:rFonts w:eastAsia="Times New Roman"/>
          <w:color w:val="000000"/>
          <w:vertAlign w:val="superscript"/>
          <w:lang w:eastAsia="cs-CZ"/>
        </w:rPr>
        <w:footnoteReference w:id="47"/>
      </w:r>
    </w:p>
    <w:p w14:paraId="0A1A2E64" w14:textId="77777777" w:rsidR="006740A5" w:rsidRPr="007F345F" w:rsidRDefault="006740A5" w:rsidP="006740A5">
      <w:pPr>
        <w:autoSpaceDE w:val="0"/>
        <w:autoSpaceDN w:val="0"/>
        <w:adjustRightInd w:val="0"/>
        <w:jc w:val="both"/>
        <w:rPr>
          <w:rFonts w:eastAsia="Calibri"/>
          <w:color w:val="222222"/>
        </w:rPr>
      </w:pPr>
    </w:p>
    <w:p w14:paraId="4C27F9B4" w14:textId="77777777" w:rsidR="007F345F" w:rsidRPr="007F345F" w:rsidRDefault="007F345F" w:rsidP="006740A5">
      <w:pPr>
        <w:autoSpaceDE w:val="0"/>
        <w:autoSpaceDN w:val="0"/>
        <w:adjustRightInd w:val="0"/>
        <w:jc w:val="both"/>
        <w:rPr>
          <w:rFonts w:eastAsia="Calibri"/>
          <w:color w:val="222222"/>
        </w:rPr>
      </w:pPr>
      <w:r w:rsidRPr="007F345F">
        <w:rPr>
          <w:rFonts w:eastAsia="Calibri"/>
          <w:i/>
          <w:color w:val="222222"/>
        </w:rPr>
        <w:t>Objective 1</w:t>
      </w:r>
      <w:r w:rsidRPr="007F345F">
        <w:rPr>
          <w:rFonts w:eastAsia="Calibri"/>
          <w:color w:val="222222"/>
        </w:rPr>
        <w:t xml:space="preserve"> (Strengthening research, technological development and innovation) refers to equality </w:t>
      </w:r>
      <w:proofErr w:type="gramStart"/>
      <w:r w:rsidRPr="007F345F">
        <w:rPr>
          <w:rFonts w:eastAsia="Calibri"/>
          <w:color w:val="222222"/>
        </w:rPr>
        <w:t>in regard to</w:t>
      </w:r>
      <w:proofErr w:type="gramEnd"/>
      <w:r w:rsidRPr="007F345F">
        <w:rPr>
          <w:rFonts w:eastAsia="Calibri"/>
          <w:color w:val="222222"/>
        </w:rPr>
        <w:t xml:space="preserve"> age and gender, but not specifically in regard to disability.</w:t>
      </w:r>
    </w:p>
    <w:p w14:paraId="0671DBF7" w14:textId="77777777" w:rsidR="006740A5" w:rsidRDefault="006740A5" w:rsidP="006740A5">
      <w:pPr>
        <w:autoSpaceDE w:val="0"/>
        <w:autoSpaceDN w:val="0"/>
        <w:adjustRightInd w:val="0"/>
        <w:jc w:val="both"/>
        <w:rPr>
          <w:rFonts w:eastAsia="Calibri"/>
          <w:i/>
          <w:color w:val="222222"/>
        </w:rPr>
      </w:pPr>
    </w:p>
    <w:p w14:paraId="34A34F0D" w14:textId="224D3187" w:rsidR="007F345F" w:rsidRPr="007F345F" w:rsidRDefault="007F345F" w:rsidP="006740A5">
      <w:pPr>
        <w:autoSpaceDE w:val="0"/>
        <w:autoSpaceDN w:val="0"/>
        <w:adjustRightInd w:val="0"/>
        <w:jc w:val="both"/>
        <w:rPr>
          <w:rFonts w:eastAsia="Calibri"/>
          <w:color w:val="222222"/>
        </w:rPr>
      </w:pPr>
      <w:r w:rsidRPr="007F345F">
        <w:rPr>
          <w:rFonts w:eastAsia="Calibri"/>
          <w:i/>
          <w:color w:val="222222"/>
        </w:rPr>
        <w:t>Objective 7</w:t>
      </w:r>
      <w:r w:rsidRPr="007F345F">
        <w:rPr>
          <w:rFonts w:eastAsia="Calibri"/>
          <w:color w:val="222222"/>
        </w:rPr>
        <w:t xml:space="preserve"> (Promoting sustainable transport and removing bottlenecks in key network infrastructures) refers to universal design under partial objectives such as Modernisation and construction of terminals for multimodal transport or Enhancing transport safety that explicitly refers to making barrier – free access, sound and other signalling for the blind and adjusting roads for non-motorised transport to persons with reduced mobility or orientation.</w:t>
      </w:r>
    </w:p>
    <w:p w14:paraId="781C6555" w14:textId="3CE11771" w:rsidR="007F345F" w:rsidRPr="007F345F" w:rsidRDefault="007F345F" w:rsidP="006740A5">
      <w:pPr>
        <w:autoSpaceDE w:val="0"/>
        <w:autoSpaceDN w:val="0"/>
        <w:adjustRightInd w:val="0"/>
        <w:jc w:val="both"/>
        <w:rPr>
          <w:rFonts w:eastAsia="Calibri"/>
          <w:i/>
          <w:color w:val="222222"/>
        </w:rPr>
      </w:pPr>
      <w:r w:rsidRPr="007F345F">
        <w:rPr>
          <w:rFonts w:eastAsia="Calibri"/>
          <w:i/>
          <w:color w:val="222222"/>
        </w:rPr>
        <w:lastRenderedPageBreak/>
        <w:t xml:space="preserve">Thematic objective </w:t>
      </w:r>
      <w:r w:rsidRPr="007F345F">
        <w:rPr>
          <w:rFonts w:eastAsia="Calibri"/>
          <w:color w:val="222222"/>
        </w:rPr>
        <w:t>8 (Promoting sustainable and quality employment and supporting labour mobility) focuses on implementation of new active employment instruments with emphasis on an individual approach and services that target job seekers from vulnerable groups of persons in the labour market, including young job seekers and inactive persons. The same objective 8 also aims to remove discrimination in the labour market and to reduce the horizontal and vertical segregation of the labour market. Besides other target groups it focuses on improving access to the labour market for persons caring for dependent people</w:t>
      </w:r>
      <w:r w:rsidR="006740A5">
        <w:rPr>
          <w:rFonts w:eastAsia="Calibri"/>
          <w:color w:val="222222"/>
        </w:rPr>
        <w:t>.</w:t>
      </w:r>
      <w:r w:rsidRPr="007F345F">
        <w:rPr>
          <w:rFonts w:eastAsia="Calibri"/>
          <w:color w:val="222222"/>
          <w:vertAlign w:val="superscript"/>
        </w:rPr>
        <w:footnoteReference w:id="48"/>
      </w:r>
    </w:p>
    <w:p w14:paraId="62E613F4" w14:textId="77777777" w:rsidR="006740A5" w:rsidRDefault="006740A5" w:rsidP="006740A5">
      <w:pPr>
        <w:autoSpaceDE w:val="0"/>
        <w:autoSpaceDN w:val="0"/>
        <w:adjustRightInd w:val="0"/>
        <w:jc w:val="both"/>
        <w:rPr>
          <w:rFonts w:eastAsia="Calibri"/>
          <w:i/>
          <w:color w:val="222222"/>
        </w:rPr>
      </w:pPr>
    </w:p>
    <w:p w14:paraId="7468763F" w14:textId="591056FD" w:rsidR="007F345F" w:rsidRPr="007F345F" w:rsidRDefault="007F345F" w:rsidP="006740A5">
      <w:pPr>
        <w:autoSpaceDE w:val="0"/>
        <w:autoSpaceDN w:val="0"/>
        <w:adjustRightInd w:val="0"/>
        <w:jc w:val="both"/>
        <w:rPr>
          <w:rFonts w:eastAsia="Calibri"/>
          <w:color w:val="222222"/>
        </w:rPr>
      </w:pPr>
      <w:r w:rsidRPr="007F345F">
        <w:rPr>
          <w:rFonts w:eastAsia="Calibri"/>
          <w:i/>
          <w:color w:val="222222"/>
        </w:rPr>
        <w:t xml:space="preserve">Objective 9 </w:t>
      </w:r>
      <w:r w:rsidRPr="007F345F">
        <w:rPr>
          <w:rFonts w:eastAsia="Calibri"/>
          <w:color w:val="222222"/>
        </w:rPr>
        <w:t xml:space="preserve">(Promoting social inclusion, combating poverty and any discrimination) specifically mentions disability </w:t>
      </w:r>
      <w:proofErr w:type="gramStart"/>
      <w:r w:rsidRPr="007F345F">
        <w:rPr>
          <w:rFonts w:eastAsia="Calibri"/>
          <w:color w:val="222222"/>
        </w:rPr>
        <w:t>in regard to</w:t>
      </w:r>
      <w:proofErr w:type="gramEnd"/>
      <w:r w:rsidRPr="007F345F">
        <w:rPr>
          <w:rFonts w:eastAsia="Calibri"/>
          <w:color w:val="222222"/>
        </w:rPr>
        <w:t xml:space="preserve"> the need to reduce a long-term and repeated unemployment of persons with disability. The objective refers to the need to support social entrepreneurship, as the process of their development in the Czech Republic is still very slow due a lack of systemic support measures. The document considers this as a significant opportunity for inclusion of all persons at risk of social exclusion. The objective highlights the need to create or develop existing social enterprises and to enhance their infrastructure (their expansion, extension to more target groups or larger numbers of users and successful graduates). </w:t>
      </w:r>
    </w:p>
    <w:p w14:paraId="668D3F34" w14:textId="77777777" w:rsidR="007F345F" w:rsidRPr="007F345F" w:rsidRDefault="007F345F" w:rsidP="006740A5">
      <w:pPr>
        <w:autoSpaceDE w:val="0"/>
        <w:autoSpaceDN w:val="0"/>
        <w:adjustRightInd w:val="0"/>
        <w:jc w:val="both"/>
        <w:rPr>
          <w:rFonts w:eastAsia="Calibri"/>
          <w:color w:val="222222"/>
        </w:rPr>
      </w:pPr>
      <w:r w:rsidRPr="007F345F">
        <w:rPr>
          <w:rFonts w:eastAsia="Calibri"/>
          <w:color w:val="222222"/>
        </w:rPr>
        <w:t xml:space="preserve">Another specific and important domain under objective 9 is Comprehensive approach to tackling issues in communities towards social inclusion. This refers to specific aims; </w:t>
      </w:r>
      <w:r w:rsidRPr="007F345F">
        <w:rPr>
          <w:rFonts w:eastAsia="Calibri"/>
          <w:i/>
          <w:color w:val="222222"/>
        </w:rPr>
        <w:t>to create local strategic plans for social inclusion</w:t>
      </w:r>
      <w:r w:rsidRPr="007F345F">
        <w:rPr>
          <w:rFonts w:eastAsia="Calibri"/>
          <w:color w:val="222222"/>
        </w:rPr>
        <w:t xml:space="preserve">, </w:t>
      </w:r>
      <w:r w:rsidRPr="007F345F">
        <w:rPr>
          <w:rFonts w:eastAsia="Calibri"/>
          <w:i/>
          <w:color w:val="222222"/>
        </w:rPr>
        <w:t>to improve quality conditions for implementing inclusive education across its all levels</w:t>
      </w:r>
      <w:r w:rsidRPr="007F345F">
        <w:rPr>
          <w:rFonts w:eastAsia="Calibri"/>
          <w:color w:val="222222"/>
        </w:rPr>
        <w:t xml:space="preserve"> (strengthening competencies of teaching staff, overcoming prejudices from work with a heterogeneous group, improving pedagogical-psychological counselling and special-educational counselling; development and implementation of compensatory and support measures in primary schools (methods and organisation of teaching, assessment, teaching aids); </w:t>
      </w:r>
      <w:r w:rsidRPr="007F345F">
        <w:rPr>
          <w:rFonts w:eastAsia="Calibri"/>
          <w:i/>
          <w:color w:val="222222"/>
        </w:rPr>
        <w:t>to improve the quality and availability of services leading to social inclusion</w:t>
      </w:r>
      <w:r w:rsidRPr="007F345F">
        <w:rPr>
          <w:rFonts w:eastAsia="Calibri"/>
          <w:color w:val="222222"/>
        </w:rPr>
        <w:t xml:space="preserve"> (infrastructure for social services, development of community centres infrastructure with the purpose of social inclusion and better employability, infrastructure for the availability of social work and development of social services coordination), </w:t>
      </w:r>
      <w:r w:rsidRPr="007F345F">
        <w:rPr>
          <w:rFonts w:eastAsia="Calibri"/>
          <w:i/>
          <w:color w:val="222222"/>
        </w:rPr>
        <w:t>to develop a system of accessible housing as a fundamental social need</w:t>
      </w:r>
      <w:r w:rsidRPr="007F345F">
        <w:rPr>
          <w:rFonts w:eastAsia="Calibri"/>
          <w:color w:val="222222"/>
        </w:rPr>
        <w:t xml:space="preserve"> (to interconnect  housing services and social work along with the development of interconnection of social services in favour of effective combination of community and institutionalised services, to transform and deinstitutionalise services, to increase the availability and effectiveness of outpatient and residential services, cultural and community centres, to create an environment for deinstitutionalisation of psychiatric care and shifting its focus into communities by providing community care and alternative care to community care).</w:t>
      </w:r>
      <w:r w:rsidRPr="007F345F">
        <w:rPr>
          <w:rFonts w:eastAsia="Calibri"/>
          <w:color w:val="222222"/>
          <w:vertAlign w:val="superscript"/>
        </w:rPr>
        <w:footnoteReference w:id="49"/>
      </w:r>
    </w:p>
    <w:p w14:paraId="06CD300F" w14:textId="77777777" w:rsidR="006740A5" w:rsidRDefault="006740A5" w:rsidP="006740A5">
      <w:pPr>
        <w:autoSpaceDE w:val="0"/>
        <w:autoSpaceDN w:val="0"/>
        <w:adjustRightInd w:val="0"/>
        <w:jc w:val="both"/>
        <w:rPr>
          <w:rFonts w:eastAsia="Calibri"/>
          <w:i/>
          <w:color w:val="222222"/>
        </w:rPr>
      </w:pPr>
    </w:p>
    <w:p w14:paraId="53BE9285" w14:textId="4B7C6B1D" w:rsidR="007F345F" w:rsidRPr="007F345F" w:rsidRDefault="007F345F" w:rsidP="006740A5">
      <w:pPr>
        <w:autoSpaceDE w:val="0"/>
        <w:autoSpaceDN w:val="0"/>
        <w:adjustRightInd w:val="0"/>
        <w:jc w:val="both"/>
        <w:rPr>
          <w:rFonts w:eastAsia="Calibri"/>
          <w:color w:val="222222"/>
        </w:rPr>
      </w:pPr>
      <w:r w:rsidRPr="007F345F">
        <w:rPr>
          <w:rFonts w:eastAsia="Calibri"/>
          <w:i/>
          <w:color w:val="222222"/>
        </w:rPr>
        <w:t xml:space="preserve">Thematic objective 10 </w:t>
      </w:r>
      <w:r w:rsidRPr="007F345F">
        <w:rPr>
          <w:rFonts w:eastAsia="Calibri"/>
          <w:color w:val="222222"/>
        </w:rPr>
        <w:t>(Investing in education, training and vocational training for skills and lifelong learning) in the recent programme period aims widely refers to 1) quality of education at preschool, primary and secondary education and 2) to support quality of higher education</w:t>
      </w:r>
      <w:r w:rsidR="006740A5">
        <w:rPr>
          <w:rFonts w:eastAsia="Calibri"/>
          <w:color w:val="222222"/>
        </w:rPr>
        <w:t>.</w:t>
      </w:r>
      <w:r w:rsidRPr="007F345F">
        <w:rPr>
          <w:rFonts w:eastAsia="Calibri"/>
          <w:color w:val="222222"/>
          <w:vertAlign w:val="superscript"/>
        </w:rPr>
        <w:footnoteReference w:id="50"/>
      </w:r>
    </w:p>
    <w:p w14:paraId="5107CFFB" w14:textId="2E19FF1F" w:rsidR="007F345F" w:rsidRDefault="007F345F" w:rsidP="006740A5">
      <w:pPr>
        <w:autoSpaceDE w:val="0"/>
        <w:autoSpaceDN w:val="0"/>
        <w:adjustRightInd w:val="0"/>
        <w:jc w:val="both"/>
        <w:rPr>
          <w:rFonts w:eastAsia="Calibri"/>
          <w:i/>
          <w:color w:val="222222"/>
        </w:rPr>
      </w:pPr>
      <w:r w:rsidRPr="007F345F">
        <w:rPr>
          <w:rFonts w:eastAsia="Calibri"/>
          <w:color w:val="222222"/>
        </w:rPr>
        <w:lastRenderedPageBreak/>
        <w:t xml:space="preserve">The objective widely </w:t>
      </w:r>
      <w:r w:rsidR="006740A5" w:rsidRPr="007F345F">
        <w:rPr>
          <w:rFonts w:eastAsia="Calibri"/>
          <w:color w:val="222222"/>
        </w:rPr>
        <w:t>supports</w:t>
      </w:r>
      <w:r w:rsidRPr="007F345F">
        <w:rPr>
          <w:rFonts w:eastAsia="Calibri"/>
          <w:color w:val="222222"/>
        </w:rPr>
        <w:t xml:space="preserve"> inclusive education across all the levels of education and highlights disability and supporting </w:t>
      </w:r>
      <w:r w:rsidRPr="007F345F">
        <w:rPr>
          <w:rFonts w:eastAsia="Calibri"/>
          <w:i/>
          <w:color w:val="222222"/>
        </w:rPr>
        <w:t xml:space="preserve">children at risk of school failure or early leaving </w:t>
      </w:r>
      <w:r w:rsidRPr="007F345F">
        <w:rPr>
          <w:rFonts w:eastAsia="Calibri"/>
          <w:color w:val="222222"/>
        </w:rPr>
        <w:t xml:space="preserve">as the top target groups. It highlights the need </w:t>
      </w:r>
      <w:r w:rsidRPr="007F345F">
        <w:rPr>
          <w:rFonts w:eastAsia="Calibri"/>
          <w:i/>
          <w:color w:val="222222"/>
        </w:rPr>
        <w:t>to:</w:t>
      </w:r>
    </w:p>
    <w:p w14:paraId="365D26D2" w14:textId="77777777" w:rsidR="006740A5" w:rsidRPr="007F345F" w:rsidRDefault="006740A5" w:rsidP="006740A5">
      <w:pPr>
        <w:autoSpaceDE w:val="0"/>
        <w:autoSpaceDN w:val="0"/>
        <w:adjustRightInd w:val="0"/>
        <w:jc w:val="both"/>
        <w:rPr>
          <w:rFonts w:eastAsia="Calibri"/>
          <w:i/>
          <w:color w:val="222222"/>
        </w:rPr>
      </w:pPr>
    </w:p>
    <w:p w14:paraId="33C2BDF4" w14:textId="77777777" w:rsidR="007F345F" w:rsidRPr="007F345F" w:rsidRDefault="007F345F" w:rsidP="006740A5">
      <w:pPr>
        <w:numPr>
          <w:ilvl w:val="0"/>
          <w:numId w:val="40"/>
        </w:numPr>
        <w:autoSpaceDE w:val="0"/>
        <w:autoSpaceDN w:val="0"/>
        <w:adjustRightInd w:val="0"/>
        <w:ind w:left="426" w:hanging="426"/>
        <w:jc w:val="both"/>
        <w:rPr>
          <w:rFonts w:eastAsia="Calibri"/>
          <w:color w:val="222222"/>
        </w:rPr>
      </w:pPr>
      <w:r w:rsidRPr="007F345F">
        <w:rPr>
          <w:rFonts w:eastAsia="Calibri"/>
          <w:i/>
          <w:color w:val="222222"/>
        </w:rPr>
        <w:t>support development of human resources for the area of initial education</w:t>
      </w:r>
      <w:r w:rsidRPr="007F345F">
        <w:rPr>
          <w:rFonts w:eastAsia="Calibri"/>
          <w:color w:val="222222"/>
        </w:rPr>
        <w:t>, (through improvement of under-graduate training, and further professional development; development of competencies of school officials and authorities),</w:t>
      </w:r>
    </w:p>
    <w:p w14:paraId="50FE1773" w14:textId="77777777" w:rsidR="007F345F" w:rsidRPr="007F345F" w:rsidRDefault="007F345F" w:rsidP="006740A5">
      <w:pPr>
        <w:numPr>
          <w:ilvl w:val="0"/>
          <w:numId w:val="40"/>
        </w:numPr>
        <w:autoSpaceDE w:val="0"/>
        <w:autoSpaceDN w:val="0"/>
        <w:adjustRightInd w:val="0"/>
        <w:ind w:left="426" w:hanging="426"/>
        <w:jc w:val="both"/>
        <w:rPr>
          <w:rFonts w:eastAsia="Calibri"/>
          <w:color w:val="222222"/>
        </w:rPr>
      </w:pPr>
      <w:r w:rsidRPr="007F345F">
        <w:rPr>
          <w:rFonts w:eastAsia="Calibri"/>
          <w:color w:val="222222"/>
        </w:rPr>
        <w:t xml:space="preserve"> </w:t>
      </w:r>
      <w:r w:rsidRPr="007F345F">
        <w:rPr>
          <w:rFonts w:eastAsia="Calibri"/>
          <w:i/>
          <w:color w:val="222222"/>
        </w:rPr>
        <w:t>to improve the quality of future and novice teaching staff</w:t>
      </w:r>
      <w:r w:rsidRPr="007F345F">
        <w:rPr>
          <w:rFonts w:eastAsia="Calibri"/>
          <w:color w:val="222222"/>
        </w:rPr>
        <w:t xml:space="preserve"> (improving the quality of teacher training through improving the quality of schools providing teacher training; development of competencies of future graduates and novice teachers)</w:t>
      </w:r>
    </w:p>
    <w:p w14:paraId="3ED68080" w14:textId="77777777" w:rsidR="007F345F" w:rsidRPr="007F345F" w:rsidRDefault="007F345F" w:rsidP="006740A5">
      <w:pPr>
        <w:numPr>
          <w:ilvl w:val="0"/>
          <w:numId w:val="40"/>
        </w:numPr>
        <w:autoSpaceDE w:val="0"/>
        <w:autoSpaceDN w:val="0"/>
        <w:adjustRightInd w:val="0"/>
        <w:ind w:left="426" w:hanging="426"/>
        <w:jc w:val="both"/>
        <w:rPr>
          <w:rFonts w:eastAsia="Calibri"/>
          <w:color w:val="222222"/>
        </w:rPr>
      </w:pPr>
      <w:r w:rsidRPr="007F345F">
        <w:rPr>
          <w:rFonts w:eastAsia="Calibri"/>
          <w:color w:val="222222"/>
        </w:rPr>
        <w:t xml:space="preserve">to </w:t>
      </w:r>
      <w:r w:rsidRPr="007F345F">
        <w:rPr>
          <w:rFonts w:eastAsia="Calibri"/>
          <w:i/>
          <w:color w:val="222222"/>
        </w:rPr>
        <w:t xml:space="preserve">ensure equal access to quality educational infrastructure of nursery, primary and secondary schools. </w:t>
      </w:r>
      <w:r w:rsidRPr="007F345F">
        <w:rPr>
          <w:rFonts w:eastAsia="Calibri"/>
          <w:color w:val="222222"/>
        </w:rPr>
        <w:t xml:space="preserve">This </w:t>
      </w:r>
      <w:proofErr w:type="gramStart"/>
      <w:r w:rsidRPr="007F345F">
        <w:rPr>
          <w:rFonts w:eastAsia="Calibri"/>
          <w:color w:val="222222"/>
        </w:rPr>
        <w:t>takes into account</w:t>
      </w:r>
      <w:proofErr w:type="gramEnd"/>
      <w:r w:rsidRPr="007F345F">
        <w:rPr>
          <w:rFonts w:eastAsia="Calibri"/>
          <w:color w:val="222222"/>
        </w:rPr>
        <w:t xml:space="preserve"> the needs of the demographic development and the needs to make schools accessible to children with special educational needs. It supports inclusive education in regional schools and to practise individual approach at all levels of the education system. Lastly it enables work with the public in order to enhance understanding of inclusive education.</w:t>
      </w:r>
    </w:p>
    <w:p w14:paraId="2C0F8A21" w14:textId="77777777" w:rsidR="006740A5" w:rsidRDefault="006740A5" w:rsidP="006740A5">
      <w:pPr>
        <w:autoSpaceDE w:val="0"/>
        <w:autoSpaceDN w:val="0"/>
        <w:adjustRightInd w:val="0"/>
        <w:jc w:val="both"/>
        <w:rPr>
          <w:rFonts w:eastAsia="Calibri"/>
          <w:color w:val="222222"/>
        </w:rPr>
      </w:pPr>
    </w:p>
    <w:p w14:paraId="460C93A7" w14:textId="7A9B1F5F" w:rsidR="007F345F" w:rsidRPr="007F345F" w:rsidRDefault="007F345F" w:rsidP="006740A5">
      <w:pPr>
        <w:autoSpaceDE w:val="0"/>
        <w:autoSpaceDN w:val="0"/>
        <w:adjustRightInd w:val="0"/>
        <w:jc w:val="both"/>
        <w:rPr>
          <w:rFonts w:eastAsia="Calibri"/>
          <w:color w:val="222222"/>
        </w:rPr>
      </w:pPr>
      <w:r w:rsidRPr="007F345F">
        <w:rPr>
          <w:rFonts w:eastAsia="Calibri"/>
          <w:color w:val="222222"/>
        </w:rPr>
        <w:t>Overall the objective highlights the need to provide quality education of teachers in the area of inclusion of children and pupils with special educational needs, in the area of compensatory and supportive measures provision, to strengthen the community function of schools by enhancing cooperation between them and nongovernmental organisations and the municipalities or regional authorities.</w:t>
      </w:r>
      <w:r w:rsidRPr="007F345F">
        <w:rPr>
          <w:rFonts w:eastAsia="Calibri"/>
          <w:color w:val="222222"/>
          <w:vertAlign w:val="superscript"/>
        </w:rPr>
        <w:footnoteReference w:id="51"/>
      </w:r>
    </w:p>
    <w:p w14:paraId="6B894FBF" w14:textId="668A9020" w:rsidR="007F345F" w:rsidRPr="007F345F" w:rsidRDefault="007F345F" w:rsidP="006740A5">
      <w:pPr>
        <w:autoSpaceDE w:val="0"/>
        <w:autoSpaceDN w:val="0"/>
        <w:adjustRightInd w:val="0"/>
        <w:jc w:val="both"/>
        <w:rPr>
          <w:rFonts w:eastAsia="Calibri"/>
          <w:i/>
          <w:color w:val="222222"/>
        </w:rPr>
      </w:pPr>
      <w:r w:rsidRPr="007F345F">
        <w:rPr>
          <w:rFonts w:eastAsia="Calibri"/>
          <w:color w:val="222222"/>
        </w:rPr>
        <w:t>Within the sub objective to increase quality of higher education it aims</w:t>
      </w:r>
      <w:r w:rsidRPr="007F345F">
        <w:rPr>
          <w:rFonts w:eastAsia="Calibri"/>
          <w:i/>
          <w:color w:val="222222"/>
        </w:rPr>
        <w:t xml:space="preserve"> to adopt measures leading to reduction in early university drop-outs, to increasing the participation of students with specific needs - from socio-economically disadvantaged groups, from ethnic minorities and students with disabilities in university education </w:t>
      </w:r>
      <w:r w:rsidRPr="007F345F">
        <w:rPr>
          <w:rFonts w:eastAsia="Calibri"/>
          <w:color w:val="222222"/>
        </w:rPr>
        <w:t>by establishment and development of counselling centres (activities aimed at improving awareness of offered study programmes, support for individual approach to students; activities aiming at increasing the number of students, raising awareness about work with these students, improving the related competencies of academic staff and counselling centre staff)</w:t>
      </w:r>
      <w:r w:rsidR="00952BA4">
        <w:rPr>
          <w:rFonts w:eastAsia="Calibri"/>
          <w:color w:val="222222"/>
        </w:rPr>
        <w:t>.</w:t>
      </w:r>
      <w:r w:rsidRPr="007F345F">
        <w:rPr>
          <w:rFonts w:eastAsia="Calibri"/>
          <w:color w:val="222222"/>
          <w:vertAlign w:val="superscript"/>
        </w:rPr>
        <w:footnoteReference w:id="52"/>
      </w:r>
    </w:p>
    <w:p w14:paraId="1C142D1A" w14:textId="77777777" w:rsidR="006740A5" w:rsidRDefault="006740A5" w:rsidP="006740A5">
      <w:pPr>
        <w:jc w:val="both"/>
        <w:rPr>
          <w:rFonts w:eastAsia="Calibri"/>
          <w:color w:val="222222"/>
        </w:rPr>
      </w:pPr>
    </w:p>
    <w:p w14:paraId="0DC549AD" w14:textId="783A7FE9" w:rsidR="007F345F" w:rsidRPr="007F345F" w:rsidRDefault="007F345F" w:rsidP="006740A5">
      <w:pPr>
        <w:jc w:val="both"/>
        <w:rPr>
          <w:rFonts w:eastAsia="Calibri"/>
          <w:bCs/>
        </w:rPr>
      </w:pPr>
      <w:r w:rsidRPr="007F345F">
        <w:rPr>
          <w:rFonts w:eastAsia="Calibri"/>
          <w:color w:val="222222"/>
        </w:rPr>
        <w:t xml:space="preserve">First calls for project proposals in the new programme period were announced by managing authorities since </w:t>
      </w:r>
      <w:r w:rsidR="006740A5">
        <w:rPr>
          <w:rFonts w:eastAsia="Calibri"/>
          <w:color w:val="222222"/>
        </w:rPr>
        <w:t xml:space="preserve">30 </w:t>
      </w:r>
      <w:r w:rsidRPr="007F345F">
        <w:rPr>
          <w:rFonts w:eastAsia="Calibri"/>
          <w:color w:val="222222"/>
        </w:rPr>
        <w:t>June</w:t>
      </w:r>
      <w:r w:rsidR="006740A5">
        <w:rPr>
          <w:rFonts w:eastAsia="Calibri"/>
          <w:color w:val="222222"/>
        </w:rPr>
        <w:t xml:space="preserve"> </w:t>
      </w:r>
      <w:r w:rsidRPr="007F345F">
        <w:rPr>
          <w:rFonts w:eastAsia="Calibri"/>
          <w:color w:val="222222"/>
        </w:rPr>
        <w:t xml:space="preserve">2015. </w:t>
      </w:r>
      <w:r w:rsidRPr="007F345F">
        <w:rPr>
          <w:rFonts w:eastAsia="Calibri"/>
          <w:bCs/>
        </w:rPr>
        <w:t xml:space="preserve">The process of absorption of the EU Funds in the Czech Republic is overseen by a National Coordination Authority. It prepares </w:t>
      </w:r>
      <w:r w:rsidRPr="007F345F">
        <w:rPr>
          <w:rFonts w:eastAsia="Calibri"/>
        </w:rPr>
        <w:t xml:space="preserve">the rules governing the drawdown, coordinates the activities of the Managing Authorities and negotiates with the European Commission. In addition, its activities include administration of the monitoring system, evaluation of the drawdown and proposing measures to prevent potential risks, as well as ensuring the publicity of EU funds in the Czech Republic. </w:t>
      </w:r>
      <w:r w:rsidRPr="007F345F">
        <w:rPr>
          <w:rFonts w:eastAsia="Calibri"/>
          <w:color w:val="222222"/>
        </w:rPr>
        <w:t xml:space="preserve">Some of the finances from ESI Funds were allocated based on the territorial dimension. </w:t>
      </w:r>
      <w:r w:rsidRPr="007F345F">
        <w:rPr>
          <w:rFonts w:eastAsia="Calibri"/>
        </w:rPr>
        <w:t xml:space="preserve">Such approach contributes to levelling off territorial disparities. Implementation of the territorial dimension takes place through projects within calls targeted at </w:t>
      </w:r>
      <w:proofErr w:type="gramStart"/>
      <w:r w:rsidRPr="007F345F">
        <w:rPr>
          <w:rFonts w:eastAsia="Calibri"/>
        </w:rPr>
        <w:t>particular types</w:t>
      </w:r>
      <w:proofErr w:type="gramEnd"/>
      <w:r w:rsidRPr="007F345F">
        <w:rPr>
          <w:rFonts w:eastAsia="Calibri"/>
        </w:rPr>
        <w:t xml:space="preserve"> of territories, or through integrated tools fulfilled by integrated projects. </w:t>
      </w:r>
      <w:r w:rsidRPr="007F345F">
        <w:rPr>
          <w:rFonts w:eastAsia="Calibri"/>
          <w:bCs/>
        </w:rPr>
        <w:t xml:space="preserve">Within the ESI Funds there </w:t>
      </w:r>
      <w:r w:rsidRPr="007F345F">
        <w:rPr>
          <w:rFonts w:eastAsia="Calibri"/>
          <w:bCs/>
        </w:rPr>
        <w:lastRenderedPageBreak/>
        <w:t xml:space="preserve">are three main thematic operational programmes (OP) that most widely indicate reference to Disability; 1) OP Research, Development and Education, 2) OP Employment, and 3) Integrated Regional OP under which projects are being currently implemented. </w:t>
      </w:r>
    </w:p>
    <w:p w14:paraId="70246270" w14:textId="77777777" w:rsidR="006740A5" w:rsidRDefault="006740A5" w:rsidP="006740A5">
      <w:pPr>
        <w:jc w:val="both"/>
        <w:rPr>
          <w:rFonts w:eastAsia="Calibri"/>
          <w:bCs/>
        </w:rPr>
      </w:pPr>
    </w:p>
    <w:p w14:paraId="64A82BEA" w14:textId="3EE16849" w:rsidR="007F345F" w:rsidRDefault="007F345F" w:rsidP="006740A5">
      <w:pPr>
        <w:jc w:val="both"/>
        <w:rPr>
          <w:rFonts w:eastAsia="Calibri"/>
          <w:bCs/>
        </w:rPr>
      </w:pPr>
      <w:r w:rsidRPr="007F345F">
        <w:rPr>
          <w:rFonts w:eastAsia="Calibri"/>
          <w:bCs/>
        </w:rPr>
        <w:t>Specific calls indicated no reference to disability terms of the title, but the three above mentioned had terms such as disability, early school leaver or support of children, pupils or students with special needs in headline description. The terms were also considered in creation of the monitoring indicators. Other calls aim to improving quality of life of persons with disabilities secondly through supporting projects that promote universal design.</w:t>
      </w:r>
      <w:r w:rsidRPr="007F345F">
        <w:rPr>
          <w:rFonts w:eastAsia="Calibri"/>
          <w:bCs/>
          <w:vertAlign w:val="superscript"/>
        </w:rPr>
        <w:t xml:space="preserve"> </w:t>
      </w:r>
      <w:r w:rsidRPr="007F345F">
        <w:rPr>
          <w:rFonts w:eastAsia="Calibri"/>
          <w:bCs/>
          <w:vertAlign w:val="superscript"/>
        </w:rPr>
        <w:footnoteReference w:id="53"/>
      </w:r>
      <w:r w:rsidRPr="007F345F">
        <w:rPr>
          <w:rFonts w:eastAsia="Calibri"/>
          <w:bCs/>
        </w:rPr>
        <w:t xml:space="preserve"> More detailed evidence that would identify numbers of supported disabled people’s organisations, or organisation for persons with disabilities, or numbers of supported persons with disabilities themselves is not available.</w:t>
      </w:r>
    </w:p>
    <w:p w14:paraId="686A8D43" w14:textId="77777777" w:rsidR="006740A5" w:rsidRPr="007F345F" w:rsidRDefault="006740A5" w:rsidP="006740A5">
      <w:pPr>
        <w:jc w:val="both"/>
        <w:rPr>
          <w:rFonts w:eastAsia="Calibri"/>
          <w:bCs/>
        </w:rPr>
      </w:pPr>
    </w:p>
    <w:p w14:paraId="22A9A772" w14:textId="5ABA2DE3" w:rsidR="007F345F" w:rsidRDefault="007F345F" w:rsidP="006740A5">
      <w:pPr>
        <w:jc w:val="both"/>
        <w:rPr>
          <w:rFonts w:eastAsia="Calibri"/>
          <w:bCs/>
        </w:rPr>
      </w:pPr>
      <w:r w:rsidRPr="007F345F">
        <w:rPr>
          <w:rFonts w:eastAsia="Calibri"/>
          <w:bCs/>
        </w:rPr>
        <w:t>Examples of projects currently being implemented within the following OPs:</w:t>
      </w:r>
    </w:p>
    <w:p w14:paraId="337F428B" w14:textId="77777777" w:rsidR="006740A5" w:rsidRPr="007F345F" w:rsidRDefault="006740A5" w:rsidP="006740A5">
      <w:pPr>
        <w:jc w:val="both"/>
        <w:rPr>
          <w:rFonts w:eastAsia="Calibri"/>
          <w:bCs/>
        </w:rPr>
      </w:pPr>
    </w:p>
    <w:p w14:paraId="6189886B" w14:textId="4DB90A9F" w:rsidR="007F345F" w:rsidRPr="007F345F" w:rsidRDefault="007F345F" w:rsidP="006740A5">
      <w:pPr>
        <w:numPr>
          <w:ilvl w:val="0"/>
          <w:numId w:val="41"/>
        </w:numPr>
        <w:ind w:left="567" w:hanging="567"/>
        <w:contextualSpacing/>
        <w:jc w:val="both"/>
        <w:rPr>
          <w:rFonts w:eastAsia="Calibri"/>
          <w:bCs/>
        </w:rPr>
      </w:pPr>
      <w:r w:rsidRPr="007F345F">
        <w:rPr>
          <w:rFonts w:eastAsia="Calibri"/>
          <w:bCs/>
        </w:rPr>
        <w:t>the</w:t>
      </w:r>
      <w:r w:rsidRPr="007F345F">
        <w:rPr>
          <w:rFonts w:eastAsia="Calibri"/>
          <w:bCs/>
          <w:i/>
        </w:rPr>
        <w:t xml:space="preserve"> OP Research, Development and Education</w:t>
      </w:r>
      <w:r w:rsidRPr="007F345F">
        <w:rPr>
          <w:rFonts w:eastAsia="Calibri"/>
          <w:bCs/>
        </w:rPr>
        <w:t>, call “Inclusive Education” announced and led by Ministry of Education of the Czech Republic</w:t>
      </w:r>
      <w:r w:rsidR="006740A5">
        <w:rPr>
          <w:rFonts w:eastAsia="Calibri"/>
          <w:bCs/>
        </w:rPr>
        <w:t>.</w:t>
      </w:r>
    </w:p>
    <w:p w14:paraId="74436010" w14:textId="72C49FDC" w:rsidR="007F345F" w:rsidRPr="007F345F" w:rsidRDefault="007F345F" w:rsidP="006740A5">
      <w:pPr>
        <w:numPr>
          <w:ilvl w:val="0"/>
          <w:numId w:val="41"/>
        </w:numPr>
        <w:ind w:left="567" w:hanging="567"/>
        <w:contextualSpacing/>
        <w:jc w:val="both"/>
        <w:rPr>
          <w:rFonts w:eastAsia="Calibri"/>
          <w:bCs/>
          <w:i/>
        </w:rPr>
      </w:pPr>
      <w:r w:rsidRPr="007F345F">
        <w:rPr>
          <w:rFonts w:eastAsia="Calibri"/>
          <w:bCs/>
          <w:i/>
        </w:rPr>
        <w:t>In 2016 University of West Bohemia (UWB), School of Education, Department of Education received a support from the OP Research, Development and Education, call number 02_15_007. Project</w:t>
      </w:r>
      <w:r w:rsidRPr="007F345F">
        <w:rPr>
          <w:rFonts w:eastAsia="Calibri"/>
          <w:bCs/>
          <w:i/>
          <w:lang w:val="en-US"/>
        </w:rPr>
        <w:t xml:space="preserve">’s title is </w:t>
      </w:r>
      <w:r w:rsidRPr="007F345F">
        <w:rPr>
          <w:rFonts w:eastAsia="Calibri"/>
          <w:bCs/>
          <w:i/>
          <w:lang w:val="cs-CZ"/>
        </w:rPr>
        <w:t>„</w:t>
      </w:r>
      <w:r w:rsidRPr="007F345F">
        <w:rPr>
          <w:rFonts w:eastAsia="Calibri"/>
          <w:bCs/>
          <w:i/>
          <w:lang w:val="en-US"/>
        </w:rPr>
        <w:t>Pathways to Inclusion” (</w:t>
      </w:r>
      <w:r w:rsidRPr="007F345F">
        <w:rPr>
          <w:rFonts w:eastAsia="Calibri"/>
          <w:bCs/>
          <w:i/>
          <w:color w:val="282D37"/>
        </w:rPr>
        <w:t>CZ.02.3.61/0.0/0.0/15_007/0000166)</w:t>
      </w:r>
      <w:r w:rsidRPr="007F345F">
        <w:rPr>
          <w:rFonts w:eastAsia="Calibri"/>
          <w:bCs/>
          <w:i/>
          <w:lang w:val="en-US"/>
        </w:rPr>
        <w:t xml:space="preserve">. </w:t>
      </w:r>
      <w:r w:rsidRPr="007F345F">
        <w:rPr>
          <w:rFonts w:eastAsia="Calibri"/>
          <w:i/>
        </w:rPr>
        <w:t xml:space="preserve">The project applies changes to the paradigm shift towards pupils with the need for supportive measures (formerly called special educational needs) while respecting the differences and the right of each child to education in mainstream schools. The aim of the project is to prevent school failure of pupils and to strengthen cooperation between schools, families and non-profit organizations. Activities implemented within the project are: one – on – one tutoring or group tutoring for pupils who need extra support as well as talented children, training courses for teachers, workshops for parents, financial support and reinforcement of services provided by school </w:t>
      </w:r>
      <w:r w:rsidR="006740A5" w:rsidRPr="007F345F">
        <w:rPr>
          <w:rFonts w:eastAsia="Calibri"/>
          <w:i/>
        </w:rPr>
        <w:t>counselling</w:t>
      </w:r>
      <w:r w:rsidRPr="007F345F">
        <w:rPr>
          <w:rFonts w:eastAsia="Calibri"/>
          <w:i/>
        </w:rPr>
        <w:t xml:space="preserve"> </w:t>
      </w:r>
      <w:r w:rsidR="006740A5" w:rsidRPr="007F345F">
        <w:rPr>
          <w:rFonts w:eastAsia="Calibri"/>
          <w:i/>
        </w:rPr>
        <w:t>centres</w:t>
      </w:r>
      <w:r w:rsidRPr="007F345F">
        <w:rPr>
          <w:rFonts w:eastAsia="Calibri"/>
          <w:i/>
        </w:rPr>
        <w:t xml:space="preserve">, and </w:t>
      </w:r>
      <w:proofErr w:type="gramStart"/>
      <w:r w:rsidRPr="007F345F">
        <w:rPr>
          <w:rFonts w:eastAsia="Calibri"/>
          <w:i/>
        </w:rPr>
        <w:t>last but not least</w:t>
      </w:r>
      <w:proofErr w:type="gramEnd"/>
      <w:r w:rsidRPr="007F345F">
        <w:rPr>
          <w:rFonts w:eastAsia="Calibri"/>
          <w:i/>
        </w:rPr>
        <w:t xml:space="preserve"> good practice sharing. The project is coordinated by UWB; that not only oversees all the activities being implemented, but mostly provides tutoring for schools in implementing inclusive education on their places. Academics lecture for teachers, parents, employees from NGOs, provide supervision and </w:t>
      </w:r>
      <w:r w:rsidR="006740A5" w:rsidRPr="007F345F">
        <w:rPr>
          <w:rFonts w:eastAsia="Calibri"/>
          <w:i/>
        </w:rPr>
        <w:t>counselling</w:t>
      </w:r>
      <w:r w:rsidRPr="007F345F">
        <w:rPr>
          <w:rFonts w:eastAsia="Calibri"/>
          <w:i/>
        </w:rPr>
        <w:t>. School of education organizes seminars for students – upcoming teachers and enhance them in gaining experience at schools while supporting children (being their buddies) with the need for supportive measures. Project is being implemented in years 9/2016 – 8/2019 and stands for an important instrument that ease to implement newly accepted legislation (Education Act no. 82/2015 Coll. and its Decree no. 27/2016 Coll.) that highlights the right for education for all in mainstream schools.</w:t>
      </w:r>
    </w:p>
    <w:p w14:paraId="57C934EE" w14:textId="7C35B307" w:rsidR="007F345F" w:rsidRPr="007F345F" w:rsidRDefault="007F345F" w:rsidP="006740A5">
      <w:pPr>
        <w:numPr>
          <w:ilvl w:val="0"/>
          <w:numId w:val="41"/>
        </w:numPr>
        <w:ind w:left="567" w:hanging="567"/>
        <w:contextualSpacing/>
        <w:jc w:val="both"/>
        <w:rPr>
          <w:rFonts w:eastAsia="Calibri"/>
          <w:bCs/>
        </w:rPr>
      </w:pPr>
      <w:r w:rsidRPr="007F345F">
        <w:rPr>
          <w:rFonts w:eastAsia="Calibri"/>
          <w:bCs/>
        </w:rPr>
        <w:t xml:space="preserve">the </w:t>
      </w:r>
      <w:r w:rsidRPr="007F345F">
        <w:rPr>
          <w:rFonts w:eastAsia="Calibri"/>
          <w:bCs/>
          <w:i/>
        </w:rPr>
        <w:t>Integrated Regional OP</w:t>
      </w:r>
      <w:r w:rsidRPr="007F345F">
        <w:rPr>
          <w:rFonts w:eastAsia="Calibri"/>
          <w:bCs/>
        </w:rPr>
        <w:t xml:space="preserve"> the call number 49 “Deinstitutionalisation of institutional social services with the purpose of enhancing social inclusion II” </w:t>
      </w:r>
      <w:r w:rsidRPr="007F345F">
        <w:rPr>
          <w:rFonts w:eastAsia="Calibri"/>
          <w:bCs/>
        </w:rPr>
        <w:lastRenderedPageBreak/>
        <w:t>announced and led by Ministry of Regional Development of the Czech Republic</w:t>
      </w:r>
      <w:r w:rsidR="006740A5">
        <w:rPr>
          <w:rFonts w:eastAsia="Calibri"/>
          <w:bCs/>
        </w:rPr>
        <w:t>.</w:t>
      </w:r>
      <w:r w:rsidRPr="007F345F">
        <w:rPr>
          <w:rFonts w:eastAsia="Calibri"/>
          <w:bCs/>
        </w:rPr>
        <w:t xml:space="preserve"> </w:t>
      </w:r>
    </w:p>
    <w:p w14:paraId="5D0076AF" w14:textId="3E594CC1" w:rsidR="007F345F" w:rsidRPr="007F345F" w:rsidRDefault="007F345F" w:rsidP="006740A5">
      <w:pPr>
        <w:numPr>
          <w:ilvl w:val="0"/>
          <w:numId w:val="41"/>
        </w:numPr>
        <w:ind w:left="567" w:hanging="567"/>
        <w:contextualSpacing/>
        <w:jc w:val="both"/>
        <w:rPr>
          <w:rFonts w:eastAsia="Calibri"/>
          <w:i/>
          <w:color w:val="222222"/>
        </w:rPr>
      </w:pPr>
      <w:r w:rsidRPr="007F345F">
        <w:rPr>
          <w:rFonts w:eastAsia="Calibri"/>
          <w:i/>
          <w:color w:val="222222"/>
        </w:rPr>
        <w:t>In 2017, Social Services Centre STOD, a former social care institution for adult men received a support from the IROP, call number 49 “</w:t>
      </w:r>
      <w:r w:rsidRPr="007F345F">
        <w:rPr>
          <w:rFonts w:eastAsia="Calibri"/>
          <w:bCs/>
          <w:i/>
        </w:rPr>
        <w:t xml:space="preserve">“Deinstitutionalisation of institutional social services with the purpose of enhancing social inclusion II” to finally finish their process of deinstitutionalisation followed other 2 projects co-financed by the ESF previously within the years 2007-2016. The purpose of the third project called Transformation of STOD Social Services Centre – phase III. (CZ06.2.56/0.0/0.0/16_0.47/0005758) being implemented in year 2017 - 2020 is to finalise to process of complete </w:t>
      </w:r>
      <w:r w:rsidRPr="007F345F">
        <w:rPr>
          <w:rFonts w:eastAsia="Calibri"/>
          <w:i/>
          <w:color w:val="222222"/>
        </w:rPr>
        <w:t xml:space="preserve">abandonment of the original social care Institution. For majority of users the services are already provided within their natural environment. The aim of the third project is to enable the same standard even to 48 remaining users with profound or severe disabilities who have been using services within the formal institution and still existing buildings until the last phase of the three projects. After successful implementation of the project all users of the formal institution will be able to use newly built homes in several locations near the town </w:t>
      </w:r>
      <w:proofErr w:type="spellStart"/>
      <w:r w:rsidRPr="007F345F">
        <w:rPr>
          <w:rFonts w:eastAsia="Calibri"/>
          <w:i/>
          <w:color w:val="222222"/>
        </w:rPr>
        <w:t>Stod</w:t>
      </w:r>
      <w:proofErr w:type="spellEnd"/>
      <w:r w:rsidRPr="007F345F">
        <w:rPr>
          <w:rFonts w:eastAsia="Calibri"/>
          <w:i/>
          <w:color w:val="222222"/>
        </w:rPr>
        <w:t xml:space="preserve">. A widely shared opinion that only more able people are capable enough to live in natural environment will be overcome. Another important shift that can be depicted from the documents available to public is that previous calls focused on deinstitutionalisation were opened to organisations and not to regional authorities. For organisations (formal institutions) this provides increased level of independence, lower level of political pressure and possibilities to make decisions in what is best for them in terms of increasing quality of life of their social services users.  </w:t>
      </w:r>
    </w:p>
    <w:p w14:paraId="71DFE12E" w14:textId="6DE0853B" w:rsidR="00EB54C7" w:rsidRPr="001341CA" w:rsidRDefault="00EB54C7" w:rsidP="006740A5">
      <w:pPr>
        <w:jc w:val="both"/>
        <w:rPr>
          <w:rFonts w:eastAsiaTheme="majorEastAsia"/>
          <w:b/>
          <w:bCs/>
          <w:sz w:val="28"/>
          <w:szCs w:val="26"/>
        </w:rPr>
      </w:pPr>
      <w:r w:rsidRPr="001341CA">
        <w:br w:type="page"/>
      </w:r>
    </w:p>
    <w:p w14:paraId="34CE8F42" w14:textId="00A64BCD" w:rsidR="001341CA" w:rsidRDefault="0071696A">
      <w:pPr>
        <w:pStyle w:val="Heading1"/>
      </w:pPr>
      <w:bookmarkStart w:id="15" w:name="_Toc528662153"/>
      <w:r>
        <w:lastRenderedPageBreak/>
        <w:t>Statistical annex:</w:t>
      </w:r>
      <w:r w:rsidR="000D320A">
        <w:t xml:space="preserve"> </w:t>
      </w:r>
      <w:r w:rsidR="00873A47">
        <w:t xml:space="preserve">disability </w:t>
      </w:r>
      <w:r>
        <w:t xml:space="preserve">data relevant to </w:t>
      </w:r>
      <w:r w:rsidR="001F1183">
        <w:t>EU</w:t>
      </w:r>
      <w:r w:rsidR="001341CA" w:rsidRPr="001341CA">
        <w:t>2020</w:t>
      </w:r>
      <w:bookmarkEnd w:id="15"/>
    </w:p>
    <w:p w14:paraId="735AA007" w14:textId="77777777" w:rsidR="00AF323E" w:rsidRPr="00AF323E" w:rsidRDefault="00AF323E" w:rsidP="00FD5457">
      <w:pPr>
        <w:jc w:val="both"/>
      </w:pPr>
    </w:p>
    <w:p w14:paraId="1860804A" w14:textId="6F376014" w:rsidR="0071696A" w:rsidRDefault="005E1C80" w:rsidP="00FD5457">
      <w:pPr>
        <w:pStyle w:val="BodyText"/>
        <w:spacing w:after="0"/>
        <w:jc w:val="both"/>
      </w:pPr>
      <w:r w:rsidRPr="0071696A">
        <w:t xml:space="preserve">Unless specified, the </w:t>
      </w:r>
      <w:r w:rsidR="00092B8F" w:rsidRPr="0071696A">
        <w:t xml:space="preserve">summary </w:t>
      </w:r>
      <w:r w:rsidRPr="0071696A">
        <w:t xml:space="preserve">statistics presented in </w:t>
      </w:r>
      <w:r w:rsidR="00092B8F" w:rsidRPr="0071696A">
        <w:t>this report</w:t>
      </w:r>
      <w:r w:rsidRPr="0071696A">
        <w:t xml:space="preserve"> are draw</w:t>
      </w:r>
      <w:r w:rsidR="00092B8F" w:rsidRPr="0071696A">
        <w:t>n</w:t>
      </w:r>
      <w:r w:rsidRPr="0071696A">
        <w:t xml:space="preserve"> from </w:t>
      </w:r>
      <w:r w:rsidR="004217C2">
        <w:t>the most recent</w:t>
      </w:r>
      <w:r w:rsidR="00226093" w:rsidRPr="0071696A">
        <w:t xml:space="preserve"> </w:t>
      </w:r>
      <w:r w:rsidRPr="0071696A">
        <w:t xml:space="preserve">EU-SILC </w:t>
      </w:r>
      <w:r w:rsidR="00837BCB" w:rsidRPr="0071696A">
        <w:t xml:space="preserve">micro </w:t>
      </w:r>
      <w:r w:rsidRPr="0071696A">
        <w:t>data</w:t>
      </w:r>
      <w:r w:rsidR="0071696A" w:rsidRPr="0071696A">
        <w:t xml:space="preserve"> available to </w:t>
      </w:r>
      <w:r w:rsidR="00FD54EA">
        <w:t xml:space="preserve">ANED </w:t>
      </w:r>
      <w:r w:rsidR="0071696A" w:rsidRPr="0071696A">
        <w:t>researchers from Eurostat.</w:t>
      </w:r>
      <w:r w:rsidR="001F1183" w:rsidRPr="001F1183">
        <w:t xml:space="preserve"> </w:t>
      </w:r>
      <w:r w:rsidR="001C5B04">
        <w:t>Where available, e</w:t>
      </w:r>
      <w:r w:rsidR="001F1183">
        <w:t>stimates based on national data sources shou</w:t>
      </w:r>
      <w:r w:rsidR="001C5B04">
        <w:t>ld be compared</w:t>
      </w:r>
      <w:r w:rsidR="001F1183">
        <w:t>.</w:t>
      </w:r>
      <w:r w:rsidR="004217C2">
        <w:t xml:space="preserve"> </w:t>
      </w:r>
      <w:r w:rsidR="00092B8F">
        <w:t xml:space="preserve">The EU-SILC sample includes </w:t>
      </w:r>
      <w:r w:rsidR="00837BCB">
        <w:t>people</w:t>
      </w:r>
      <w:r w:rsidR="00092B8F">
        <w:t xml:space="preserve"> living in private households and does not include </w:t>
      </w:r>
      <w:r w:rsidR="002E420B">
        <w:t>people</w:t>
      </w:r>
      <w:r w:rsidR="00092B8F">
        <w:t xml:space="preserve"> living in institutions</w:t>
      </w:r>
      <w:r w:rsidR="005441A0">
        <w:t xml:space="preserve"> (congregative households). The sampling methods and responses vary in each country.</w:t>
      </w:r>
      <w:r w:rsidR="00626753">
        <w:t xml:space="preserve"> As in 2015 there was large non-response on this item in the Czech Republic (28.7%) which should be considered.</w:t>
      </w:r>
    </w:p>
    <w:p w14:paraId="0B948DD3" w14:textId="77777777" w:rsidR="00FD5457" w:rsidRDefault="00FD5457" w:rsidP="00FD5457">
      <w:pPr>
        <w:jc w:val="both"/>
      </w:pPr>
    </w:p>
    <w:p w14:paraId="7A23A6C7" w14:textId="5C1ACF6E" w:rsidR="004217C2" w:rsidRDefault="004217C2" w:rsidP="00FD5457">
      <w:pPr>
        <w:jc w:val="both"/>
      </w:pPr>
      <w:r w:rsidRPr="004217C2">
        <w:t>The proxy used to identify people with disabilities (impairments) is whether ‘for at least the past 6 months’ the respondent reports that they have been ‘limited because of a health problem in activities people usually do’.</w:t>
      </w:r>
      <w:r w:rsidRPr="004217C2">
        <w:rPr>
          <w:vertAlign w:val="superscript"/>
        </w:rPr>
        <w:footnoteReference w:id="54"/>
      </w:r>
    </w:p>
    <w:p w14:paraId="0EE0EED1" w14:textId="77777777" w:rsidR="004217C2" w:rsidRPr="004217C2" w:rsidRDefault="004217C2" w:rsidP="00875F7E"/>
    <w:p w14:paraId="4A37DA49" w14:textId="1D3FE632" w:rsidR="005E4C81" w:rsidRDefault="005E4C81" w:rsidP="00875F7E">
      <w:pPr>
        <w:pStyle w:val="Caption"/>
        <w:keepNext/>
        <w:keepLines/>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2</w:t>
      </w:r>
      <w:r w:rsidR="00F01BC2">
        <w:rPr>
          <w:noProof/>
        </w:rPr>
        <w:fldChar w:fldCharType="end"/>
      </w:r>
      <w:r>
        <w:t xml:space="preserve">: </w:t>
      </w:r>
      <w:r w:rsidR="00597A6F">
        <w:t>Self-reported</w:t>
      </w:r>
      <w:r w:rsidRPr="003A2135">
        <w:t xml:space="preserve"> </w:t>
      </w:r>
      <w:r w:rsidR="00597A6F">
        <w:t>‘</w:t>
      </w:r>
      <w:r w:rsidRPr="003A2135">
        <w:t>activity limitations</w:t>
      </w:r>
      <w:r w:rsidR="00597A6F">
        <w:t>’</w:t>
      </w:r>
      <w:r w:rsidRPr="003A2135">
        <w:t xml:space="preserve"> </w:t>
      </w:r>
      <w:r w:rsidR="00597A6F">
        <w:t xml:space="preserve">as a </w:t>
      </w:r>
      <w:r w:rsidR="004217C2">
        <w:t>proxy for impairment/disability</w:t>
      </w:r>
    </w:p>
    <w:p w14:paraId="3EC6F6E5" w14:textId="77777777" w:rsidR="00B32FDB" w:rsidRDefault="00B32FDB" w:rsidP="00875F7E">
      <w:pPr>
        <w:keepNext/>
        <w:keepLines/>
      </w:pPr>
      <w:r>
        <w:rPr>
          <w:noProof/>
          <w:lang w:eastAsia="zh-CN"/>
        </w:rPr>
        <w:drawing>
          <wp:inline distT="0" distB="0" distL="0" distR="0" wp14:anchorId="3237174A" wp14:editId="068533C0">
            <wp:extent cx="5585988" cy="3422209"/>
            <wp:effectExtent l="0" t="0" r="15240"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FA8116" w14:textId="77777777" w:rsidR="00B32FDB" w:rsidRDefault="00B32FDB" w:rsidP="00FD5457">
      <w:pPr>
        <w:pStyle w:val="Sourcereference"/>
        <w:keepNext/>
        <w:keepLines/>
        <w:jc w:val="both"/>
        <w:rPr>
          <w:lang w:eastAsia="en-GB"/>
        </w:rPr>
      </w:pPr>
      <w:r w:rsidRPr="00EF3CB6">
        <w:t xml:space="preserve">Source: </w:t>
      </w:r>
      <w:r>
        <w:rPr>
          <w:lang w:eastAsia="en-GB"/>
        </w:rPr>
        <w:t>EU-SILC UDB 2016 – version of March 2018</w:t>
      </w:r>
    </w:p>
    <w:p w14:paraId="3A0A346B" w14:textId="5D11897A" w:rsidR="004217C2" w:rsidRDefault="00F44CD5" w:rsidP="00FD5457">
      <w:pPr>
        <w:pStyle w:val="BodyText"/>
        <w:jc w:val="both"/>
      </w:pPr>
      <w:r w:rsidRPr="00F44CD5">
        <w:t xml:space="preserve">In </w:t>
      </w:r>
      <w:r w:rsidR="004217C2">
        <w:t xml:space="preserve">subsequent </w:t>
      </w:r>
      <w:r w:rsidRPr="00F44CD5">
        <w:t xml:space="preserve">tables, these data are used to estimate </w:t>
      </w:r>
      <w:r w:rsidR="00FE6E4F">
        <w:t>‘disability’ equality</w:t>
      </w:r>
      <w:r w:rsidRPr="00F44CD5">
        <w:t xml:space="preserve"> </w:t>
      </w:r>
      <w:r w:rsidR="001C5B04">
        <w:t>gaps and trends for the three</w:t>
      </w:r>
      <w:r w:rsidRPr="00F44CD5">
        <w:t xml:space="preserve"> target </w:t>
      </w:r>
      <w:r w:rsidR="001C5B04">
        <w:t>areas</w:t>
      </w:r>
      <w:r w:rsidRPr="00F44CD5">
        <w:t xml:space="preserve"> </w:t>
      </w:r>
      <w:r w:rsidR="001C5B04">
        <w:t>in</w:t>
      </w:r>
      <w:r w:rsidRPr="00F44CD5">
        <w:t xml:space="preserve"> EU2020 – employment, education and poverty </w:t>
      </w:r>
      <w:r w:rsidR="001C5B04">
        <w:t>reduction –</w:t>
      </w:r>
      <w:r w:rsidR="004217C2">
        <w:t xml:space="preserve"> </w:t>
      </w:r>
      <w:r w:rsidR="001C5B04">
        <w:t xml:space="preserve">comparing </w:t>
      </w:r>
      <w:r w:rsidR="004217C2">
        <w:t xml:space="preserve">the </w:t>
      </w:r>
      <w:r w:rsidR="001C5B04">
        <w:t>outcomes for persons who report and do not report ‘limitations’</w:t>
      </w:r>
      <w:r w:rsidRPr="00F44CD5">
        <w:t>.</w:t>
      </w:r>
      <w:r w:rsidRPr="00F44CD5">
        <w:rPr>
          <w:rStyle w:val="FootnoteReference"/>
        </w:rPr>
        <w:footnoteReference w:id="55"/>
      </w:r>
      <w:r w:rsidR="00FE6E4F">
        <w:t xml:space="preserve"> </w:t>
      </w:r>
      <w:r w:rsidR="004217C2">
        <w:t>National estimates are compared with EU28 mean averages.</w:t>
      </w:r>
      <w:r w:rsidR="00B32FDB">
        <w:rPr>
          <w:rStyle w:val="FootnoteReference"/>
        </w:rPr>
        <w:footnoteReference w:id="56"/>
      </w:r>
    </w:p>
    <w:p w14:paraId="0E19D749" w14:textId="75FA06AB" w:rsidR="00BC5855" w:rsidRPr="00BC5855" w:rsidRDefault="00DE4BC5" w:rsidP="00875F7E">
      <w:pPr>
        <w:pStyle w:val="Heading2"/>
      </w:pPr>
      <w:bookmarkStart w:id="16" w:name="_Toc528662154"/>
      <w:r>
        <w:lastRenderedPageBreak/>
        <w:t>Disability and e</w:t>
      </w:r>
      <w:r w:rsidR="000D320A">
        <w:t xml:space="preserve">mployment </w:t>
      </w:r>
      <w:r w:rsidR="00D72CA8">
        <w:t>data</w:t>
      </w:r>
      <w:r w:rsidR="001F6793">
        <w:t xml:space="preserve"> from EU-SILC</w:t>
      </w:r>
      <w:bookmarkEnd w:id="16"/>
    </w:p>
    <w:p w14:paraId="3F2B5509" w14:textId="22348649" w:rsidR="000E7982" w:rsidRDefault="000E7982" w:rsidP="00875F7E">
      <w:pPr>
        <w:pStyle w:val="Caption"/>
        <w:keepNext/>
        <w:spacing w:before="120"/>
      </w:pPr>
      <w:bookmarkStart w:id="17" w:name="_Ref525646573"/>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3</w:t>
      </w:r>
      <w:r w:rsidR="00F01BC2">
        <w:rPr>
          <w:noProof/>
        </w:rPr>
        <w:fldChar w:fldCharType="end"/>
      </w:r>
      <w:bookmarkEnd w:id="17"/>
      <w:r>
        <w:rPr>
          <w:noProof/>
        </w:rPr>
        <w:t xml:space="preserve">: </w:t>
      </w:r>
      <w:r w:rsidR="009767E9">
        <w:rPr>
          <w:noProof/>
        </w:rPr>
        <w:t>Employment rates</w:t>
      </w:r>
      <w:r w:rsidR="00BF7749">
        <w:rPr>
          <w:noProof/>
        </w:rPr>
        <w:t>,</w:t>
      </w:r>
      <w:r w:rsidR="009767E9">
        <w:rPr>
          <w:noProof/>
        </w:rPr>
        <w:t xml:space="preserve"> by </w:t>
      </w:r>
      <w:r w:rsidR="00363805">
        <w:rPr>
          <w:noProof/>
        </w:rPr>
        <w:t>disability</w:t>
      </w:r>
      <w:r w:rsidR="009767E9">
        <w:rPr>
          <w:noProof/>
        </w:rPr>
        <w:t xml:space="preserve"> and gender (</w:t>
      </w:r>
      <w:r w:rsidR="00CC497A">
        <w:rPr>
          <w:noProof/>
        </w:rPr>
        <w:t>aged 20-64</w:t>
      </w:r>
      <w:r w:rsidR="009767E9">
        <w:rPr>
          <w:noProof/>
        </w:rPr>
        <w:t>)</w:t>
      </w:r>
    </w:p>
    <w:p w14:paraId="522FFE5C" w14:textId="77777777" w:rsidR="00B32FDB" w:rsidRDefault="00B32FDB" w:rsidP="00875F7E">
      <w:r>
        <w:rPr>
          <w:noProof/>
          <w:lang w:eastAsia="zh-CN"/>
        </w:rPr>
        <w:drawing>
          <wp:inline distT="0" distB="0" distL="0" distR="0" wp14:anchorId="163DE7D7" wp14:editId="5FF3E378">
            <wp:extent cx="5585988" cy="2055137"/>
            <wp:effectExtent l="0" t="0" r="15240" b="215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65A822" w14:textId="0A70C0B5" w:rsidR="00A70A7E" w:rsidRDefault="00A70A7E" w:rsidP="00875F7E">
      <w:pPr>
        <w:pStyle w:val="Caption"/>
        <w:keepNext/>
        <w:spacing w:before="120"/>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4</w:t>
      </w:r>
      <w:r w:rsidR="00F01BC2">
        <w:rPr>
          <w:noProof/>
        </w:rPr>
        <w:fldChar w:fldCharType="end"/>
      </w:r>
      <w:r>
        <w:t xml:space="preserve">: Employment </w:t>
      </w:r>
      <w:r w:rsidR="00D87A57">
        <w:t>rate</w:t>
      </w:r>
      <w:r w:rsidR="009767E9">
        <w:t>s</w:t>
      </w:r>
      <w:r w:rsidR="00D87A57">
        <w:t xml:space="preserve">, </w:t>
      </w:r>
      <w:r>
        <w:t>by age group</w:t>
      </w:r>
    </w:p>
    <w:p w14:paraId="2FB43875" w14:textId="77777777" w:rsidR="00B32FDB" w:rsidRDefault="00B32FDB" w:rsidP="00875F7E">
      <w:pPr>
        <w:rPr>
          <w:sz w:val="20"/>
          <w:szCs w:val="20"/>
        </w:rPr>
      </w:pPr>
      <w:r>
        <w:rPr>
          <w:noProof/>
          <w:lang w:eastAsia="zh-CN"/>
        </w:rPr>
        <w:drawing>
          <wp:inline distT="0" distB="0" distL="0" distR="0" wp14:anchorId="4000A53B" wp14:editId="73CF92D6">
            <wp:extent cx="5585988" cy="2218099"/>
            <wp:effectExtent l="0" t="0" r="1524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E6B027" w14:textId="77777777" w:rsidR="00B32FDB" w:rsidRPr="00FD3E17" w:rsidRDefault="00B32FDB" w:rsidP="0030171B">
      <w:pPr>
        <w:rPr>
          <w:i/>
          <w:iCs/>
          <w:sz w:val="20"/>
          <w:szCs w:val="20"/>
        </w:rPr>
      </w:pPr>
      <w:r w:rsidRPr="00FD3E17">
        <w:rPr>
          <w:i/>
          <w:iCs/>
          <w:sz w:val="20"/>
          <w:szCs w:val="20"/>
        </w:rPr>
        <w:t xml:space="preserve">Note: It is important to exercise caution in analysis </w:t>
      </w:r>
      <w:r>
        <w:rPr>
          <w:i/>
          <w:iCs/>
          <w:sz w:val="20"/>
          <w:szCs w:val="20"/>
        </w:rPr>
        <w:t xml:space="preserve">of the </w:t>
      </w:r>
      <w:r w:rsidRPr="00FD3E17">
        <w:rPr>
          <w:i/>
          <w:iCs/>
          <w:sz w:val="20"/>
          <w:szCs w:val="20"/>
        </w:rPr>
        <w:t>younge</w:t>
      </w:r>
      <w:r>
        <w:rPr>
          <w:i/>
          <w:iCs/>
          <w:sz w:val="20"/>
          <w:szCs w:val="20"/>
        </w:rPr>
        <w:t>st</w:t>
      </w:r>
      <w:r w:rsidRPr="00FD3E17">
        <w:rPr>
          <w:i/>
          <w:iCs/>
          <w:sz w:val="20"/>
          <w:szCs w:val="20"/>
        </w:rPr>
        <w:t xml:space="preserve"> </w:t>
      </w:r>
      <w:r>
        <w:rPr>
          <w:i/>
          <w:iCs/>
          <w:sz w:val="20"/>
          <w:szCs w:val="20"/>
        </w:rPr>
        <w:t xml:space="preserve">disability </w:t>
      </w:r>
      <w:r w:rsidRPr="00FD3E17">
        <w:rPr>
          <w:i/>
          <w:iCs/>
          <w:sz w:val="20"/>
          <w:szCs w:val="20"/>
        </w:rPr>
        <w:t>age group</w:t>
      </w:r>
      <w:r>
        <w:rPr>
          <w:i/>
          <w:iCs/>
          <w:sz w:val="20"/>
          <w:szCs w:val="20"/>
        </w:rPr>
        <w:t xml:space="preserve">s, </w:t>
      </w:r>
      <w:r w:rsidRPr="00E24424">
        <w:rPr>
          <w:i/>
          <w:iCs/>
          <w:sz w:val="20"/>
          <w:szCs w:val="20"/>
        </w:rPr>
        <w:t xml:space="preserve">where the </w:t>
      </w:r>
      <w:r>
        <w:rPr>
          <w:i/>
          <w:iCs/>
          <w:sz w:val="20"/>
          <w:szCs w:val="20"/>
        </w:rPr>
        <w:t>number of observations</w:t>
      </w:r>
      <w:r w:rsidRPr="00E24424">
        <w:rPr>
          <w:i/>
          <w:iCs/>
          <w:sz w:val="20"/>
          <w:szCs w:val="20"/>
        </w:rPr>
        <w:t xml:space="preserve"> is </w:t>
      </w:r>
      <w:r>
        <w:rPr>
          <w:i/>
          <w:iCs/>
          <w:sz w:val="20"/>
          <w:szCs w:val="20"/>
        </w:rPr>
        <w:t>less than 50</w:t>
      </w:r>
      <w:r w:rsidRPr="00E24424">
        <w:rPr>
          <w:i/>
          <w:iCs/>
          <w:sz w:val="20"/>
          <w:szCs w:val="20"/>
        </w:rPr>
        <w:t xml:space="preserve"> </w:t>
      </w:r>
      <w:r>
        <w:rPr>
          <w:i/>
          <w:iCs/>
          <w:sz w:val="20"/>
          <w:szCs w:val="20"/>
        </w:rPr>
        <w:t>in CZ (an average of recent years may be more reliable)</w:t>
      </w:r>
      <w:r w:rsidRPr="00FD3E17">
        <w:rPr>
          <w:i/>
          <w:iCs/>
          <w:sz w:val="20"/>
          <w:szCs w:val="20"/>
        </w:rPr>
        <w:t>.</w:t>
      </w:r>
    </w:p>
    <w:p w14:paraId="0053BAE2" w14:textId="3A04675F" w:rsidR="00DF1581" w:rsidRDefault="00DF1581" w:rsidP="0030171B">
      <w:pPr>
        <w:pStyle w:val="Caption"/>
        <w:keepNext/>
        <w:spacing w:before="120"/>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5</w:t>
      </w:r>
      <w:r w:rsidR="00F01BC2">
        <w:rPr>
          <w:noProof/>
        </w:rPr>
        <w:fldChar w:fldCharType="end"/>
      </w:r>
      <w:r w:rsidR="00837BCB">
        <w:t xml:space="preserve">: </w:t>
      </w:r>
      <w:r w:rsidR="00D240FA">
        <w:t>T</w:t>
      </w:r>
      <w:r>
        <w:t>rend</w:t>
      </w:r>
      <w:r w:rsidR="00837BCB">
        <w:t>s</w:t>
      </w:r>
      <w:r>
        <w:t xml:space="preserve"> in employment </w:t>
      </w:r>
      <w:r w:rsidR="00837BCB">
        <w:t xml:space="preserve">by disability </w:t>
      </w:r>
      <w:r w:rsidR="00C20007">
        <w:t xml:space="preserve">status </w:t>
      </w:r>
      <w:r w:rsidR="00837BCB">
        <w:t>(</w:t>
      </w:r>
      <w:r w:rsidR="007804E3">
        <w:t>aged 20-64</w:t>
      </w:r>
      <w:r w:rsidR="00837BCB">
        <w:t>)</w:t>
      </w:r>
    </w:p>
    <w:p w14:paraId="154EF046" w14:textId="77777777" w:rsidR="00B32FDB" w:rsidRDefault="00B32FDB" w:rsidP="004A4026">
      <w:r>
        <w:rPr>
          <w:noProof/>
          <w:lang w:eastAsia="zh-CN"/>
        </w:rPr>
        <w:drawing>
          <wp:inline distT="0" distB="0" distL="0" distR="0" wp14:anchorId="788CD76E" wp14:editId="4E31893A">
            <wp:extent cx="5486400" cy="2869949"/>
            <wp:effectExtent l="0" t="0" r="19050"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647297" w14:textId="77777777" w:rsidR="00B32FDB" w:rsidRDefault="00B32FDB" w:rsidP="004A4026">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0B77A48C" w14:textId="44FBA528" w:rsidR="00561FF5" w:rsidRDefault="00561FF5" w:rsidP="004A4026">
      <w:pPr>
        <w:pStyle w:val="Heading3"/>
      </w:pPr>
      <w:bookmarkStart w:id="18" w:name="_Toc528662155"/>
      <w:r w:rsidRPr="00AF323E">
        <w:lastRenderedPageBreak/>
        <w:t>Unemployment</w:t>
      </w:r>
      <w:bookmarkEnd w:id="18"/>
    </w:p>
    <w:p w14:paraId="04FBCB3F" w14:textId="77777777" w:rsidR="00E4444D" w:rsidRPr="00E4444D" w:rsidRDefault="00E4444D" w:rsidP="00E4444D"/>
    <w:p w14:paraId="119F0295" w14:textId="411F455B" w:rsidR="001F6CDE" w:rsidRDefault="001F6CDE" w:rsidP="004A4026">
      <w:pPr>
        <w:pStyle w:val="Caption"/>
        <w:keepNext/>
      </w:pPr>
      <w:bookmarkStart w:id="19" w:name="_Ref525646601"/>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6</w:t>
      </w:r>
      <w:r w:rsidR="00F01BC2">
        <w:rPr>
          <w:noProof/>
        </w:rPr>
        <w:fldChar w:fldCharType="end"/>
      </w:r>
      <w:bookmarkEnd w:id="19"/>
      <w:r>
        <w:rPr>
          <w:noProof/>
        </w:rPr>
        <w:t xml:space="preserve">: </w:t>
      </w:r>
      <w:r w:rsidR="004508F7">
        <w:rPr>
          <w:noProof/>
        </w:rPr>
        <w:t>U</w:t>
      </w:r>
      <w:r w:rsidR="00C07F4A">
        <w:rPr>
          <w:noProof/>
        </w:rPr>
        <w:t>n</w:t>
      </w:r>
      <w:r w:rsidRPr="00763664">
        <w:rPr>
          <w:noProof/>
        </w:rPr>
        <w:t xml:space="preserve">employment </w:t>
      </w:r>
      <w:r w:rsidR="004508F7">
        <w:rPr>
          <w:noProof/>
        </w:rPr>
        <w:t>rates by disability and gender (</w:t>
      </w:r>
      <w:r>
        <w:rPr>
          <w:noProof/>
        </w:rPr>
        <w:t>aged 20-64</w:t>
      </w:r>
      <w:r w:rsidR="004508F7">
        <w:rPr>
          <w:noProof/>
        </w:rPr>
        <w:t>)</w:t>
      </w:r>
    </w:p>
    <w:p w14:paraId="23E7024A" w14:textId="77777777" w:rsidR="00B32FDB" w:rsidRDefault="00B32FDB">
      <w:r>
        <w:rPr>
          <w:noProof/>
          <w:lang w:eastAsia="zh-CN"/>
        </w:rPr>
        <w:drawing>
          <wp:inline distT="0" distB="0" distL="0" distR="0" wp14:anchorId="704FA4CD" wp14:editId="3A723719">
            <wp:extent cx="5585988" cy="2000816"/>
            <wp:effectExtent l="0" t="0" r="1524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08E562" w14:textId="5A5D13E4" w:rsidR="001F6CDE" w:rsidRDefault="001F6CDE">
      <w:pPr>
        <w:pStyle w:val="Caption"/>
        <w:keepNext/>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7</w:t>
      </w:r>
      <w:r w:rsidR="00F01BC2">
        <w:rPr>
          <w:noProof/>
        </w:rPr>
        <w:fldChar w:fldCharType="end"/>
      </w:r>
      <w:r>
        <w:t xml:space="preserve">: </w:t>
      </w:r>
      <w:r w:rsidR="00E16FB4">
        <w:t>Une</w:t>
      </w:r>
      <w:r>
        <w:t>mployment rate</w:t>
      </w:r>
      <w:r w:rsidR="00694558">
        <w:t>s</w:t>
      </w:r>
      <w:r>
        <w:t>, by age group</w:t>
      </w:r>
    </w:p>
    <w:p w14:paraId="351FCCFD" w14:textId="77777777" w:rsidR="00B32FDB" w:rsidRDefault="00B32FDB">
      <w:pPr>
        <w:rPr>
          <w:sz w:val="20"/>
          <w:szCs w:val="20"/>
        </w:rPr>
      </w:pPr>
      <w:r>
        <w:rPr>
          <w:noProof/>
          <w:lang w:eastAsia="zh-CN"/>
        </w:rPr>
        <w:drawing>
          <wp:inline distT="0" distB="0" distL="0" distR="0" wp14:anchorId="67E088C6" wp14:editId="2BEC10C3">
            <wp:extent cx="5585988" cy="2362954"/>
            <wp:effectExtent l="0" t="0" r="15240"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07D76F" w14:textId="04D40582" w:rsidR="00B32FDB" w:rsidRDefault="00B32FDB">
      <w:pPr>
        <w:rPr>
          <w:i/>
          <w:iCs/>
          <w:sz w:val="20"/>
          <w:szCs w:val="20"/>
        </w:rPr>
      </w:pPr>
      <w:r w:rsidRPr="00E24424">
        <w:rPr>
          <w:i/>
          <w:iCs/>
          <w:sz w:val="20"/>
          <w:szCs w:val="20"/>
        </w:rPr>
        <w:t xml:space="preserve">Note: It is important to exercise caution in analysis </w:t>
      </w:r>
      <w:r>
        <w:rPr>
          <w:i/>
          <w:iCs/>
          <w:sz w:val="20"/>
          <w:szCs w:val="20"/>
        </w:rPr>
        <w:t xml:space="preserve">of the </w:t>
      </w:r>
      <w:r w:rsidRPr="00E24424">
        <w:rPr>
          <w:i/>
          <w:iCs/>
          <w:sz w:val="20"/>
          <w:szCs w:val="20"/>
        </w:rPr>
        <w:t>younge</w:t>
      </w:r>
      <w:r>
        <w:rPr>
          <w:i/>
          <w:iCs/>
          <w:sz w:val="20"/>
          <w:szCs w:val="20"/>
        </w:rPr>
        <w:t>st</w:t>
      </w:r>
      <w:r w:rsidRPr="00E24424">
        <w:rPr>
          <w:i/>
          <w:iCs/>
          <w:sz w:val="20"/>
          <w:szCs w:val="20"/>
        </w:rPr>
        <w:t xml:space="preserve"> </w:t>
      </w:r>
      <w:r>
        <w:rPr>
          <w:i/>
          <w:iCs/>
          <w:sz w:val="20"/>
          <w:szCs w:val="20"/>
        </w:rPr>
        <w:t xml:space="preserve">disability </w:t>
      </w:r>
      <w:r w:rsidRPr="00E24424">
        <w:rPr>
          <w:i/>
          <w:iCs/>
          <w:sz w:val="20"/>
          <w:szCs w:val="20"/>
        </w:rPr>
        <w:t>age group</w:t>
      </w:r>
      <w:r>
        <w:rPr>
          <w:i/>
          <w:iCs/>
          <w:sz w:val="20"/>
          <w:szCs w:val="20"/>
        </w:rPr>
        <w:t xml:space="preserve">, </w:t>
      </w:r>
      <w:r w:rsidRPr="00E24424">
        <w:rPr>
          <w:i/>
          <w:iCs/>
          <w:sz w:val="20"/>
          <w:szCs w:val="20"/>
        </w:rPr>
        <w:t xml:space="preserve">where the </w:t>
      </w:r>
      <w:r>
        <w:rPr>
          <w:i/>
          <w:iCs/>
          <w:sz w:val="20"/>
          <w:szCs w:val="20"/>
        </w:rPr>
        <w:t>number of observations</w:t>
      </w:r>
      <w:r w:rsidRPr="00E24424">
        <w:rPr>
          <w:i/>
          <w:iCs/>
          <w:sz w:val="20"/>
          <w:szCs w:val="20"/>
        </w:rPr>
        <w:t xml:space="preserve"> is </w:t>
      </w:r>
      <w:r>
        <w:rPr>
          <w:i/>
          <w:iCs/>
          <w:sz w:val="20"/>
          <w:szCs w:val="20"/>
        </w:rPr>
        <w:t>less than 50</w:t>
      </w:r>
      <w:r w:rsidRPr="00E24424">
        <w:rPr>
          <w:i/>
          <w:iCs/>
          <w:sz w:val="20"/>
          <w:szCs w:val="20"/>
        </w:rPr>
        <w:t xml:space="preserve"> </w:t>
      </w:r>
      <w:r>
        <w:rPr>
          <w:i/>
          <w:iCs/>
          <w:sz w:val="20"/>
          <w:szCs w:val="20"/>
        </w:rPr>
        <w:t>in CZ (an average of recent years may be more reliable)</w:t>
      </w:r>
      <w:r w:rsidRPr="00E24424">
        <w:rPr>
          <w:i/>
          <w:iCs/>
          <w:sz w:val="20"/>
          <w:szCs w:val="20"/>
        </w:rPr>
        <w:t>.</w:t>
      </w:r>
    </w:p>
    <w:p w14:paraId="54E40D30" w14:textId="77777777" w:rsidR="00FD5457" w:rsidRPr="00FD5457" w:rsidRDefault="00FD5457">
      <w:pPr>
        <w:rPr>
          <w:iCs/>
          <w:sz w:val="20"/>
          <w:szCs w:val="20"/>
        </w:rPr>
      </w:pPr>
    </w:p>
    <w:p w14:paraId="27F35BEF" w14:textId="5D38A62E" w:rsidR="006503F2" w:rsidRDefault="006503F2">
      <w:pPr>
        <w:pStyle w:val="Caption"/>
        <w:keepNext/>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8</w:t>
      </w:r>
      <w:r w:rsidR="00F01BC2">
        <w:rPr>
          <w:noProof/>
        </w:rPr>
        <w:fldChar w:fldCharType="end"/>
      </w:r>
      <w:r>
        <w:t xml:space="preserve">: </w:t>
      </w:r>
      <w:r w:rsidR="002A7F69">
        <w:t>T</w:t>
      </w:r>
      <w:r>
        <w:t xml:space="preserve">rends in unemployment </w:t>
      </w:r>
      <w:r w:rsidR="00694558">
        <w:t xml:space="preserve">rate, by disability status </w:t>
      </w:r>
      <w:r>
        <w:t>(aged 20-64)</w:t>
      </w:r>
    </w:p>
    <w:p w14:paraId="2FD65EE6" w14:textId="77777777" w:rsidR="00B32FDB" w:rsidRDefault="00B32FDB">
      <w:r>
        <w:rPr>
          <w:noProof/>
          <w:lang w:eastAsia="zh-CN"/>
        </w:rPr>
        <w:drawing>
          <wp:inline distT="0" distB="0" distL="0" distR="0" wp14:anchorId="743F23EC" wp14:editId="24329E9D">
            <wp:extent cx="5486400" cy="2703444"/>
            <wp:effectExtent l="0" t="0" r="0" b="19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036B7B" w14:textId="77777777" w:rsidR="00B32FDB" w:rsidRDefault="00B32FDB">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4EBBFC31" w14:textId="05DF5F88" w:rsidR="008A5AB7" w:rsidRDefault="00561FF5">
      <w:pPr>
        <w:pStyle w:val="Heading3"/>
      </w:pPr>
      <w:bookmarkStart w:id="20" w:name="_Toc528662156"/>
      <w:r>
        <w:lastRenderedPageBreak/>
        <w:t>Economic activity</w:t>
      </w:r>
      <w:bookmarkEnd w:id="20"/>
    </w:p>
    <w:p w14:paraId="65608BF7" w14:textId="77777777" w:rsidR="00E4444D" w:rsidRPr="00E4444D" w:rsidRDefault="00E4444D" w:rsidP="00E4444D"/>
    <w:p w14:paraId="0E6919A2" w14:textId="4BDAD6C9" w:rsidR="002E420B" w:rsidRDefault="002E420B">
      <w:pPr>
        <w:pStyle w:val="Caption"/>
      </w:pPr>
      <w:bookmarkStart w:id="21" w:name="_Ref525646614"/>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9</w:t>
      </w:r>
      <w:r w:rsidR="00F01BC2">
        <w:rPr>
          <w:noProof/>
        </w:rPr>
        <w:fldChar w:fldCharType="end"/>
      </w:r>
      <w:bookmarkEnd w:id="21"/>
      <w:r>
        <w:rPr>
          <w:noProof/>
        </w:rPr>
        <w:t xml:space="preserve">: </w:t>
      </w:r>
      <w:r w:rsidR="00694558">
        <w:rPr>
          <w:noProof/>
        </w:rPr>
        <w:t>E</w:t>
      </w:r>
      <w:r w:rsidR="00C07F4A">
        <w:rPr>
          <w:noProof/>
        </w:rPr>
        <w:t>conomic activ</w:t>
      </w:r>
      <w:r w:rsidR="00FD5457">
        <w:rPr>
          <w:noProof/>
        </w:rPr>
        <w:t>i</w:t>
      </w:r>
      <w:r w:rsidR="00C07F4A">
        <w:rPr>
          <w:noProof/>
        </w:rPr>
        <w:t>ty</w:t>
      </w:r>
      <w:r w:rsidRPr="00763664">
        <w:rPr>
          <w:noProof/>
        </w:rPr>
        <w:t xml:space="preserve"> </w:t>
      </w:r>
      <w:r w:rsidR="00694558">
        <w:rPr>
          <w:noProof/>
        </w:rPr>
        <w:t>rates, by disability and gender (</w:t>
      </w:r>
      <w:r>
        <w:rPr>
          <w:noProof/>
        </w:rPr>
        <w:t>aged 20-64</w:t>
      </w:r>
      <w:r w:rsidR="00694558">
        <w:rPr>
          <w:noProof/>
        </w:rPr>
        <w:t>)</w:t>
      </w:r>
    </w:p>
    <w:p w14:paraId="0972D277" w14:textId="77777777" w:rsidR="00B32FDB" w:rsidRDefault="00B32FDB">
      <w:r>
        <w:rPr>
          <w:noProof/>
          <w:lang w:eastAsia="zh-CN"/>
        </w:rPr>
        <w:drawing>
          <wp:inline distT="0" distB="0" distL="0" distR="0" wp14:anchorId="1500D721" wp14:editId="5C49D3CB">
            <wp:extent cx="5585988" cy="1991763"/>
            <wp:effectExtent l="0" t="0" r="15240" b="279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EEF612" w14:textId="55DF783D" w:rsidR="002E420B" w:rsidRDefault="002E420B">
      <w:pPr>
        <w:pStyle w:val="Caption"/>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10</w:t>
      </w:r>
      <w:r w:rsidR="00F01BC2">
        <w:rPr>
          <w:noProof/>
        </w:rPr>
        <w:fldChar w:fldCharType="end"/>
      </w:r>
      <w:r>
        <w:t xml:space="preserve">: </w:t>
      </w:r>
      <w:r w:rsidR="00C07F4A">
        <w:t>Activity</w:t>
      </w:r>
      <w:r>
        <w:t xml:space="preserve"> rate</w:t>
      </w:r>
      <w:r w:rsidR="00694558">
        <w:t>s</w:t>
      </w:r>
      <w:r>
        <w:t>, by age group</w:t>
      </w:r>
    </w:p>
    <w:p w14:paraId="22BDB909" w14:textId="77777777" w:rsidR="00B32FDB" w:rsidRDefault="00B32FDB">
      <w:pPr>
        <w:rPr>
          <w:sz w:val="20"/>
          <w:szCs w:val="20"/>
        </w:rPr>
      </w:pPr>
      <w:r>
        <w:rPr>
          <w:noProof/>
          <w:lang w:eastAsia="zh-CN"/>
        </w:rPr>
        <w:drawing>
          <wp:inline distT="0" distB="0" distL="0" distR="0" wp14:anchorId="68993FE3" wp14:editId="5A34D9CE">
            <wp:extent cx="5585988" cy="2199992"/>
            <wp:effectExtent l="0" t="0" r="1524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705C7E" w14:textId="77777777" w:rsidR="00B32FDB" w:rsidRPr="00E24424" w:rsidRDefault="00B32FDB">
      <w:pPr>
        <w:rPr>
          <w:i/>
          <w:iCs/>
          <w:sz w:val="20"/>
          <w:szCs w:val="20"/>
        </w:rPr>
      </w:pPr>
      <w:r w:rsidRPr="00E24424">
        <w:rPr>
          <w:i/>
          <w:iCs/>
          <w:sz w:val="20"/>
          <w:szCs w:val="20"/>
        </w:rPr>
        <w:t xml:space="preserve">Note: It is important to exercise caution in analysis </w:t>
      </w:r>
      <w:r>
        <w:rPr>
          <w:i/>
          <w:iCs/>
          <w:sz w:val="20"/>
          <w:szCs w:val="20"/>
        </w:rPr>
        <w:t xml:space="preserve">of the </w:t>
      </w:r>
      <w:r w:rsidRPr="00E24424">
        <w:rPr>
          <w:i/>
          <w:iCs/>
          <w:sz w:val="20"/>
          <w:szCs w:val="20"/>
        </w:rPr>
        <w:t>younge</w:t>
      </w:r>
      <w:r>
        <w:rPr>
          <w:i/>
          <w:iCs/>
          <w:sz w:val="20"/>
          <w:szCs w:val="20"/>
        </w:rPr>
        <w:t>st</w:t>
      </w:r>
      <w:r w:rsidRPr="00E24424">
        <w:rPr>
          <w:i/>
          <w:iCs/>
          <w:sz w:val="20"/>
          <w:szCs w:val="20"/>
        </w:rPr>
        <w:t xml:space="preserve"> </w:t>
      </w:r>
      <w:r>
        <w:rPr>
          <w:i/>
          <w:iCs/>
          <w:sz w:val="20"/>
          <w:szCs w:val="20"/>
        </w:rPr>
        <w:t xml:space="preserve">disability </w:t>
      </w:r>
      <w:r w:rsidRPr="00E24424">
        <w:rPr>
          <w:i/>
          <w:iCs/>
          <w:sz w:val="20"/>
          <w:szCs w:val="20"/>
        </w:rPr>
        <w:t>age group</w:t>
      </w:r>
      <w:r>
        <w:rPr>
          <w:i/>
          <w:iCs/>
          <w:sz w:val="20"/>
          <w:szCs w:val="20"/>
        </w:rPr>
        <w:t xml:space="preserve">, </w:t>
      </w:r>
      <w:r w:rsidRPr="00E24424">
        <w:rPr>
          <w:i/>
          <w:iCs/>
          <w:sz w:val="20"/>
          <w:szCs w:val="20"/>
        </w:rPr>
        <w:t xml:space="preserve">where the </w:t>
      </w:r>
      <w:r>
        <w:rPr>
          <w:i/>
          <w:iCs/>
          <w:sz w:val="20"/>
          <w:szCs w:val="20"/>
        </w:rPr>
        <w:t>number of observations</w:t>
      </w:r>
      <w:r w:rsidRPr="00E24424">
        <w:rPr>
          <w:i/>
          <w:iCs/>
          <w:sz w:val="20"/>
          <w:szCs w:val="20"/>
        </w:rPr>
        <w:t xml:space="preserve"> is </w:t>
      </w:r>
      <w:r>
        <w:rPr>
          <w:i/>
          <w:iCs/>
          <w:sz w:val="20"/>
          <w:szCs w:val="20"/>
        </w:rPr>
        <w:t>less than 50</w:t>
      </w:r>
      <w:r w:rsidRPr="00E24424">
        <w:rPr>
          <w:i/>
          <w:iCs/>
          <w:sz w:val="20"/>
          <w:szCs w:val="20"/>
        </w:rPr>
        <w:t xml:space="preserve"> </w:t>
      </w:r>
      <w:r>
        <w:rPr>
          <w:i/>
          <w:iCs/>
          <w:sz w:val="20"/>
          <w:szCs w:val="20"/>
        </w:rPr>
        <w:t>in CZ (an average of recent years may be more reliable)</w:t>
      </w:r>
      <w:r w:rsidRPr="00E24424">
        <w:rPr>
          <w:i/>
          <w:iCs/>
          <w:sz w:val="20"/>
          <w:szCs w:val="20"/>
        </w:rPr>
        <w:t>.</w:t>
      </w:r>
    </w:p>
    <w:p w14:paraId="53ECBB9A" w14:textId="755529C6" w:rsidR="00834272" w:rsidRDefault="00834272">
      <w:pPr>
        <w:pStyle w:val="Caption"/>
        <w:keepNext/>
      </w:pPr>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11</w:t>
      </w:r>
      <w:r w:rsidR="00F01BC2">
        <w:rPr>
          <w:noProof/>
        </w:rPr>
        <w:fldChar w:fldCharType="end"/>
      </w:r>
      <w:r w:rsidR="00694558">
        <w:t xml:space="preserve">: Trends in activity rates, by </w:t>
      </w:r>
      <w:r>
        <w:t>disability</w:t>
      </w:r>
      <w:r w:rsidR="00694558">
        <w:t xml:space="preserve"> status</w:t>
      </w:r>
      <w:r>
        <w:t xml:space="preserve"> (aged 20-64)</w:t>
      </w:r>
    </w:p>
    <w:p w14:paraId="51D84F00" w14:textId="77777777" w:rsidR="00B32FDB" w:rsidRDefault="00B32FDB">
      <w:r>
        <w:rPr>
          <w:noProof/>
          <w:lang w:eastAsia="zh-CN"/>
        </w:rPr>
        <w:drawing>
          <wp:inline distT="0" distB="0" distL="0" distR="0" wp14:anchorId="3DEEDD80" wp14:editId="0FB455B0">
            <wp:extent cx="5486400" cy="2888055"/>
            <wp:effectExtent l="0" t="0" r="19050" b="266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5B91A2" w14:textId="77777777" w:rsidR="00B32FDB" w:rsidRDefault="00B32FDB">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6A910B85" w14:textId="77777777" w:rsidR="004217C2" w:rsidRDefault="004217C2">
      <w:pPr>
        <w:pStyle w:val="Heading3"/>
      </w:pPr>
      <w:bookmarkStart w:id="22" w:name="_Toc528662157"/>
      <w:r>
        <w:lastRenderedPageBreak/>
        <w:t>Alternative sources of national disability employment data</w:t>
      </w:r>
      <w:bookmarkEnd w:id="22"/>
    </w:p>
    <w:p w14:paraId="08201C68" w14:textId="2CD87FB6" w:rsidR="00F01BC2" w:rsidRDefault="002048CB" w:rsidP="00B25DFD">
      <w:pPr>
        <w:rPr>
          <w:lang w:eastAsia="en-GB"/>
        </w:rPr>
      </w:pPr>
      <w:r>
        <w:rPr>
          <w:lang w:eastAsia="en-GB"/>
        </w:rPr>
        <w:t xml:space="preserve"> </w:t>
      </w:r>
    </w:p>
    <w:p w14:paraId="7EFAD368" w14:textId="5324D55A" w:rsidR="00007312" w:rsidRDefault="00007312" w:rsidP="00B25DFD">
      <w:pPr>
        <w:pStyle w:val="Caption"/>
        <w:keepNext/>
        <w:keepLines/>
      </w:pPr>
      <w:bookmarkStart w:id="23" w:name="_Ref525654279"/>
      <w:r>
        <w:t xml:space="preserve">Table </w:t>
      </w:r>
      <w:r w:rsidR="007C03D9">
        <w:rPr>
          <w:noProof/>
        </w:rPr>
        <w:fldChar w:fldCharType="begin"/>
      </w:r>
      <w:r w:rsidR="007C03D9">
        <w:rPr>
          <w:noProof/>
        </w:rPr>
        <w:instrText xml:space="preserve"> SEQ Table \* ARABIC </w:instrText>
      </w:r>
      <w:r w:rsidR="007C03D9">
        <w:rPr>
          <w:noProof/>
        </w:rPr>
        <w:fldChar w:fldCharType="separate"/>
      </w:r>
      <w:r w:rsidR="00B25DFD">
        <w:rPr>
          <w:noProof/>
        </w:rPr>
        <w:t>12</w:t>
      </w:r>
      <w:r w:rsidR="007C03D9">
        <w:rPr>
          <w:noProof/>
        </w:rPr>
        <w:fldChar w:fldCharType="end"/>
      </w:r>
      <w:bookmarkEnd w:id="23"/>
      <w:r>
        <w:t xml:space="preserve">: </w:t>
      </w:r>
      <w:r w:rsidRPr="00F90AAB">
        <w:t>Participants by LMP intervention</w:t>
      </w:r>
      <w:r>
        <w:t>s</w:t>
      </w:r>
    </w:p>
    <w:tbl>
      <w:tblPr>
        <w:tblStyle w:val="TableGrid"/>
        <w:tblW w:w="0" w:type="auto"/>
        <w:tblLayout w:type="fixed"/>
        <w:tblLook w:val="04A0" w:firstRow="1" w:lastRow="0" w:firstColumn="1" w:lastColumn="0" w:noHBand="0" w:noVBand="1"/>
      </w:tblPr>
      <w:tblGrid>
        <w:gridCol w:w="3937"/>
        <w:gridCol w:w="1015"/>
        <w:gridCol w:w="1016"/>
        <w:gridCol w:w="1016"/>
        <w:gridCol w:w="1016"/>
        <w:gridCol w:w="1016"/>
      </w:tblGrid>
      <w:tr w:rsidR="00007312" w:rsidRPr="00007312" w14:paraId="71765DA2" w14:textId="77777777" w:rsidTr="00B25DFD">
        <w:trPr>
          <w:trHeight w:val="285"/>
        </w:trPr>
        <w:tc>
          <w:tcPr>
            <w:tcW w:w="3937" w:type="dxa"/>
            <w:noWrap/>
            <w:hideMark/>
          </w:tcPr>
          <w:p w14:paraId="32F4BF47" w14:textId="77777777" w:rsidR="00007312" w:rsidRPr="00B25DFD" w:rsidRDefault="00007312" w:rsidP="00B25DFD">
            <w:pPr>
              <w:keepNext/>
              <w:keepLines/>
              <w:rPr>
                <w:b/>
                <w:sz w:val="20"/>
                <w:szCs w:val="20"/>
                <w:lang w:eastAsia="en-GB"/>
              </w:rPr>
            </w:pPr>
            <w:r w:rsidRPr="00B25DFD">
              <w:rPr>
                <w:b/>
                <w:sz w:val="20"/>
                <w:szCs w:val="20"/>
                <w:lang w:eastAsia="en-GB"/>
              </w:rPr>
              <w:t>LMP_TYPE/TIME</w:t>
            </w:r>
          </w:p>
        </w:tc>
        <w:tc>
          <w:tcPr>
            <w:tcW w:w="1015" w:type="dxa"/>
            <w:noWrap/>
            <w:hideMark/>
          </w:tcPr>
          <w:p w14:paraId="725AD34B" w14:textId="77777777" w:rsidR="00007312" w:rsidRPr="00B25DFD" w:rsidRDefault="00007312" w:rsidP="00B25DFD">
            <w:pPr>
              <w:keepNext/>
              <w:keepLines/>
              <w:rPr>
                <w:b/>
                <w:sz w:val="20"/>
                <w:szCs w:val="20"/>
                <w:lang w:eastAsia="en-GB"/>
              </w:rPr>
            </w:pPr>
            <w:r w:rsidRPr="00B25DFD">
              <w:rPr>
                <w:b/>
                <w:sz w:val="20"/>
                <w:szCs w:val="20"/>
                <w:lang w:eastAsia="en-GB"/>
              </w:rPr>
              <w:t>2012</w:t>
            </w:r>
          </w:p>
        </w:tc>
        <w:tc>
          <w:tcPr>
            <w:tcW w:w="1016" w:type="dxa"/>
            <w:noWrap/>
            <w:hideMark/>
          </w:tcPr>
          <w:p w14:paraId="2168CF8C" w14:textId="77777777" w:rsidR="00007312" w:rsidRPr="00B25DFD" w:rsidRDefault="00007312" w:rsidP="00B25DFD">
            <w:pPr>
              <w:keepNext/>
              <w:keepLines/>
              <w:rPr>
                <w:b/>
                <w:sz w:val="20"/>
                <w:szCs w:val="20"/>
                <w:lang w:eastAsia="en-GB"/>
              </w:rPr>
            </w:pPr>
            <w:r w:rsidRPr="00B25DFD">
              <w:rPr>
                <w:b/>
                <w:sz w:val="20"/>
                <w:szCs w:val="20"/>
                <w:lang w:eastAsia="en-GB"/>
              </w:rPr>
              <w:t>2013</w:t>
            </w:r>
          </w:p>
        </w:tc>
        <w:tc>
          <w:tcPr>
            <w:tcW w:w="1016" w:type="dxa"/>
            <w:noWrap/>
            <w:hideMark/>
          </w:tcPr>
          <w:p w14:paraId="4CEEE588" w14:textId="77777777" w:rsidR="00007312" w:rsidRPr="00B25DFD" w:rsidRDefault="00007312" w:rsidP="00B25DFD">
            <w:pPr>
              <w:keepNext/>
              <w:keepLines/>
              <w:rPr>
                <w:b/>
                <w:sz w:val="20"/>
                <w:szCs w:val="20"/>
                <w:lang w:eastAsia="en-GB"/>
              </w:rPr>
            </w:pPr>
            <w:r w:rsidRPr="00B25DFD">
              <w:rPr>
                <w:b/>
                <w:sz w:val="20"/>
                <w:szCs w:val="20"/>
                <w:lang w:eastAsia="en-GB"/>
              </w:rPr>
              <w:t>2014</w:t>
            </w:r>
          </w:p>
        </w:tc>
        <w:tc>
          <w:tcPr>
            <w:tcW w:w="1016" w:type="dxa"/>
            <w:noWrap/>
            <w:hideMark/>
          </w:tcPr>
          <w:p w14:paraId="03E86AAD" w14:textId="77777777" w:rsidR="00007312" w:rsidRPr="00B25DFD" w:rsidRDefault="00007312" w:rsidP="00B25DFD">
            <w:pPr>
              <w:keepNext/>
              <w:keepLines/>
              <w:rPr>
                <w:b/>
                <w:sz w:val="20"/>
                <w:szCs w:val="20"/>
                <w:lang w:eastAsia="en-GB"/>
              </w:rPr>
            </w:pPr>
            <w:r w:rsidRPr="00B25DFD">
              <w:rPr>
                <w:b/>
                <w:sz w:val="20"/>
                <w:szCs w:val="20"/>
                <w:lang w:eastAsia="en-GB"/>
              </w:rPr>
              <w:t>2015</w:t>
            </w:r>
          </w:p>
        </w:tc>
        <w:tc>
          <w:tcPr>
            <w:tcW w:w="1016" w:type="dxa"/>
            <w:noWrap/>
            <w:hideMark/>
          </w:tcPr>
          <w:p w14:paraId="06512147" w14:textId="77777777" w:rsidR="00007312" w:rsidRPr="00B25DFD" w:rsidRDefault="00007312" w:rsidP="00B25DFD">
            <w:pPr>
              <w:keepNext/>
              <w:keepLines/>
              <w:rPr>
                <w:b/>
                <w:sz w:val="20"/>
                <w:szCs w:val="20"/>
                <w:lang w:eastAsia="en-GB"/>
              </w:rPr>
            </w:pPr>
            <w:r w:rsidRPr="00B25DFD">
              <w:rPr>
                <w:b/>
                <w:sz w:val="20"/>
                <w:szCs w:val="20"/>
                <w:lang w:eastAsia="en-GB"/>
              </w:rPr>
              <w:t>2016</w:t>
            </w:r>
          </w:p>
        </w:tc>
      </w:tr>
      <w:tr w:rsidR="00007312" w:rsidRPr="00007312" w14:paraId="4B34146F" w14:textId="77777777" w:rsidTr="00007312">
        <w:trPr>
          <w:trHeight w:val="285"/>
        </w:trPr>
        <w:tc>
          <w:tcPr>
            <w:tcW w:w="3937" w:type="dxa"/>
            <w:noWrap/>
            <w:hideMark/>
          </w:tcPr>
          <w:p w14:paraId="64F2FC92" w14:textId="77777777" w:rsidR="00007312" w:rsidRPr="00B25DFD" w:rsidRDefault="00007312" w:rsidP="00B25DFD">
            <w:pPr>
              <w:keepNext/>
              <w:keepLines/>
              <w:rPr>
                <w:sz w:val="20"/>
                <w:szCs w:val="20"/>
                <w:lang w:eastAsia="en-GB"/>
              </w:rPr>
            </w:pPr>
            <w:r w:rsidRPr="00B25DFD">
              <w:rPr>
                <w:sz w:val="20"/>
                <w:szCs w:val="20"/>
                <w:lang w:eastAsia="en-GB"/>
              </w:rPr>
              <w:t>Vocational rehabilitation of persons with working limitations</w:t>
            </w:r>
          </w:p>
        </w:tc>
        <w:tc>
          <w:tcPr>
            <w:tcW w:w="1015" w:type="dxa"/>
            <w:noWrap/>
            <w:hideMark/>
          </w:tcPr>
          <w:p w14:paraId="58D05C75"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4C77D22A"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2BC6710C"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76EBA063"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4874FDA9" w14:textId="77777777" w:rsidR="00007312" w:rsidRPr="00B25DFD" w:rsidRDefault="00007312" w:rsidP="00B25DFD">
            <w:pPr>
              <w:keepNext/>
              <w:keepLines/>
              <w:jc w:val="right"/>
              <w:rPr>
                <w:sz w:val="20"/>
                <w:szCs w:val="20"/>
                <w:lang w:eastAsia="en-GB"/>
              </w:rPr>
            </w:pPr>
            <w:r w:rsidRPr="00B25DFD">
              <w:rPr>
                <w:sz w:val="20"/>
                <w:szCs w:val="20"/>
                <w:lang w:eastAsia="en-GB"/>
              </w:rPr>
              <w:t>:</w:t>
            </w:r>
          </w:p>
        </w:tc>
      </w:tr>
      <w:tr w:rsidR="00007312" w:rsidRPr="00007312" w14:paraId="489A4E2C" w14:textId="77777777" w:rsidTr="00007312">
        <w:trPr>
          <w:trHeight w:val="285"/>
        </w:trPr>
        <w:tc>
          <w:tcPr>
            <w:tcW w:w="3937" w:type="dxa"/>
            <w:noWrap/>
            <w:hideMark/>
          </w:tcPr>
          <w:p w14:paraId="2800D093" w14:textId="77777777" w:rsidR="00007312" w:rsidRPr="00B25DFD" w:rsidRDefault="00007312" w:rsidP="00B25DFD">
            <w:pPr>
              <w:keepNext/>
              <w:keepLines/>
              <w:rPr>
                <w:sz w:val="20"/>
                <w:szCs w:val="20"/>
                <w:lang w:eastAsia="en-GB"/>
              </w:rPr>
            </w:pPr>
            <w:r w:rsidRPr="00B25DFD">
              <w:rPr>
                <w:sz w:val="20"/>
                <w:szCs w:val="20"/>
                <w:lang w:eastAsia="en-GB"/>
              </w:rPr>
              <w:t>Training</w:t>
            </w:r>
          </w:p>
        </w:tc>
        <w:tc>
          <w:tcPr>
            <w:tcW w:w="1015" w:type="dxa"/>
            <w:noWrap/>
            <w:hideMark/>
          </w:tcPr>
          <w:p w14:paraId="424E609C"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53DD05E8"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613868D3"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4C1A54CC"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2933F066" w14:textId="77777777" w:rsidR="00007312" w:rsidRPr="00B25DFD" w:rsidRDefault="00007312" w:rsidP="00B25DFD">
            <w:pPr>
              <w:keepNext/>
              <w:keepLines/>
              <w:jc w:val="right"/>
              <w:rPr>
                <w:sz w:val="20"/>
                <w:szCs w:val="20"/>
                <w:lang w:eastAsia="en-GB"/>
              </w:rPr>
            </w:pPr>
            <w:r w:rsidRPr="00B25DFD">
              <w:rPr>
                <w:sz w:val="20"/>
                <w:szCs w:val="20"/>
                <w:lang w:eastAsia="en-GB"/>
              </w:rPr>
              <w:t>1,961</w:t>
            </w:r>
          </w:p>
        </w:tc>
      </w:tr>
      <w:tr w:rsidR="00007312" w:rsidRPr="00007312" w14:paraId="181E673E" w14:textId="77777777" w:rsidTr="00007312">
        <w:trPr>
          <w:trHeight w:val="285"/>
        </w:trPr>
        <w:tc>
          <w:tcPr>
            <w:tcW w:w="3937" w:type="dxa"/>
            <w:noWrap/>
            <w:hideMark/>
          </w:tcPr>
          <w:p w14:paraId="62B5D502" w14:textId="77777777" w:rsidR="00007312" w:rsidRPr="00B25DFD" w:rsidRDefault="00007312" w:rsidP="00B25DFD">
            <w:pPr>
              <w:keepNext/>
              <w:keepLines/>
              <w:rPr>
                <w:sz w:val="20"/>
                <w:szCs w:val="20"/>
                <w:lang w:eastAsia="en-GB"/>
              </w:rPr>
            </w:pPr>
            <w:r w:rsidRPr="00B25DFD">
              <w:rPr>
                <w:sz w:val="20"/>
                <w:szCs w:val="20"/>
                <w:lang w:eastAsia="en-GB"/>
              </w:rPr>
              <w:t>Retraining of the registered unemployed</w:t>
            </w:r>
          </w:p>
        </w:tc>
        <w:tc>
          <w:tcPr>
            <w:tcW w:w="1015" w:type="dxa"/>
            <w:noWrap/>
            <w:hideMark/>
          </w:tcPr>
          <w:p w14:paraId="74B9A48F" w14:textId="77777777" w:rsidR="00007312" w:rsidRPr="00B25DFD" w:rsidRDefault="00007312" w:rsidP="00B25DFD">
            <w:pPr>
              <w:keepNext/>
              <w:keepLines/>
              <w:jc w:val="right"/>
              <w:rPr>
                <w:sz w:val="20"/>
                <w:szCs w:val="20"/>
                <w:lang w:eastAsia="en-GB"/>
              </w:rPr>
            </w:pPr>
            <w:r w:rsidRPr="00B25DFD">
              <w:rPr>
                <w:sz w:val="20"/>
                <w:szCs w:val="20"/>
                <w:lang w:eastAsia="en-GB"/>
              </w:rPr>
              <w:t>1,912</w:t>
            </w:r>
          </w:p>
        </w:tc>
        <w:tc>
          <w:tcPr>
            <w:tcW w:w="1016" w:type="dxa"/>
            <w:noWrap/>
            <w:hideMark/>
          </w:tcPr>
          <w:p w14:paraId="10EB054D" w14:textId="77777777" w:rsidR="00007312" w:rsidRPr="00B25DFD" w:rsidRDefault="00007312" w:rsidP="00B25DFD">
            <w:pPr>
              <w:keepNext/>
              <w:keepLines/>
              <w:jc w:val="right"/>
              <w:rPr>
                <w:sz w:val="20"/>
                <w:szCs w:val="20"/>
                <w:lang w:eastAsia="en-GB"/>
              </w:rPr>
            </w:pPr>
            <w:r w:rsidRPr="00B25DFD">
              <w:rPr>
                <w:sz w:val="20"/>
                <w:szCs w:val="20"/>
                <w:lang w:eastAsia="en-GB"/>
              </w:rPr>
              <w:t>2,755</w:t>
            </w:r>
          </w:p>
        </w:tc>
        <w:tc>
          <w:tcPr>
            <w:tcW w:w="1016" w:type="dxa"/>
            <w:noWrap/>
            <w:hideMark/>
          </w:tcPr>
          <w:p w14:paraId="23371E7C" w14:textId="77777777" w:rsidR="00007312" w:rsidRPr="00B25DFD" w:rsidRDefault="00007312" w:rsidP="00B25DFD">
            <w:pPr>
              <w:keepNext/>
              <w:keepLines/>
              <w:jc w:val="right"/>
              <w:rPr>
                <w:sz w:val="20"/>
                <w:szCs w:val="20"/>
                <w:lang w:eastAsia="en-GB"/>
              </w:rPr>
            </w:pPr>
            <w:r w:rsidRPr="00B25DFD">
              <w:rPr>
                <w:sz w:val="20"/>
                <w:szCs w:val="20"/>
                <w:lang w:eastAsia="en-GB"/>
              </w:rPr>
              <w:t>3,124</w:t>
            </w:r>
          </w:p>
        </w:tc>
        <w:tc>
          <w:tcPr>
            <w:tcW w:w="1016" w:type="dxa"/>
            <w:noWrap/>
            <w:hideMark/>
          </w:tcPr>
          <w:p w14:paraId="149947C7" w14:textId="77777777" w:rsidR="00007312" w:rsidRPr="00B25DFD" w:rsidRDefault="00007312" w:rsidP="00B25DFD">
            <w:pPr>
              <w:keepNext/>
              <w:keepLines/>
              <w:jc w:val="right"/>
              <w:rPr>
                <w:sz w:val="20"/>
                <w:szCs w:val="20"/>
                <w:lang w:eastAsia="en-GB"/>
              </w:rPr>
            </w:pPr>
            <w:r w:rsidRPr="00B25DFD">
              <w:rPr>
                <w:sz w:val="20"/>
                <w:szCs w:val="20"/>
                <w:lang w:eastAsia="en-GB"/>
              </w:rPr>
              <w:t>1,826</w:t>
            </w:r>
          </w:p>
        </w:tc>
        <w:tc>
          <w:tcPr>
            <w:tcW w:w="1016" w:type="dxa"/>
            <w:noWrap/>
            <w:hideMark/>
          </w:tcPr>
          <w:p w14:paraId="576350C5" w14:textId="77777777" w:rsidR="00007312" w:rsidRPr="00B25DFD" w:rsidRDefault="00007312" w:rsidP="00B25DFD">
            <w:pPr>
              <w:keepNext/>
              <w:keepLines/>
              <w:jc w:val="right"/>
              <w:rPr>
                <w:sz w:val="20"/>
                <w:szCs w:val="20"/>
                <w:lang w:eastAsia="en-GB"/>
              </w:rPr>
            </w:pPr>
            <w:r w:rsidRPr="00B25DFD">
              <w:rPr>
                <w:sz w:val="20"/>
                <w:szCs w:val="20"/>
                <w:lang w:eastAsia="en-GB"/>
              </w:rPr>
              <w:t>1,139</w:t>
            </w:r>
          </w:p>
        </w:tc>
      </w:tr>
      <w:tr w:rsidR="00007312" w:rsidRPr="00007312" w14:paraId="22701886" w14:textId="77777777" w:rsidTr="00007312">
        <w:trPr>
          <w:trHeight w:val="285"/>
        </w:trPr>
        <w:tc>
          <w:tcPr>
            <w:tcW w:w="3937" w:type="dxa"/>
            <w:noWrap/>
            <w:hideMark/>
          </w:tcPr>
          <w:p w14:paraId="616B688C" w14:textId="77777777" w:rsidR="00007312" w:rsidRPr="00B25DFD" w:rsidRDefault="00007312" w:rsidP="00B25DFD">
            <w:pPr>
              <w:keepNext/>
              <w:keepLines/>
              <w:rPr>
                <w:sz w:val="20"/>
                <w:szCs w:val="20"/>
                <w:lang w:eastAsia="en-GB"/>
              </w:rPr>
            </w:pPr>
            <w:r w:rsidRPr="00B25DFD">
              <w:rPr>
                <w:sz w:val="20"/>
                <w:szCs w:val="20"/>
                <w:lang w:eastAsia="en-GB"/>
              </w:rPr>
              <w:t>Self-organized retraining of the registered unemployed</w:t>
            </w:r>
          </w:p>
        </w:tc>
        <w:tc>
          <w:tcPr>
            <w:tcW w:w="1015" w:type="dxa"/>
            <w:noWrap/>
            <w:hideMark/>
          </w:tcPr>
          <w:p w14:paraId="7096B772" w14:textId="77777777" w:rsidR="00007312" w:rsidRPr="00B25DFD" w:rsidRDefault="00007312" w:rsidP="00B25DFD">
            <w:pPr>
              <w:keepNext/>
              <w:keepLines/>
              <w:jc w:val="right"/>
              <w:rPr>
                <w:sz w:val="20"/>
                <w:szCs w:val="20"/>
                <w:lang w:eastAsia="en-GB"/>
              </w:rPr>
            </w:pPr>
            <w:r w:rsidRPr="00B25DFD">
              <w:rPr>
                <w:sz w:val="20"/>
                <w:szCs w:val="20"/>
                <w:lang w:eastAsia="en-GB"/>
              </w:rPr>
              <w:t>1,174</w:t>
            </w:r>
          </w:p>
        </w:tc>
        <w:tc>
          <w:tcPr>
            <w:tcW w:w="1016" w:type="dxa"/>
            <w:noWrap/>
            <w:hideMark/>
          </w:tcPr>
          <w:p w14:paraId="61088287" w14:textId="77777777" w:rsidR="00007312" w:rsidRPr="00B25DFD" w:rsidRDefault="00007312" w:rsidP="00B25DFD">
            <w:pPr>
              <w:keepNext/>
              <w:keepLines/>
              <w:jc w:val="right"/>
              <w:rPr>
                <w:sz w:val="20"/>
                <w:szCs w:val="20"/>
                <w:lang w:eastAsia="en-GB"/>
              </w:rPr>
            </w:pPr>
            <w:r w:rsidRPr="00B25DFD">
              <w:rPr>
                <w:sz w:val="20"/>
                <w:szCs w:val="20"/>
                <w:lang w:eastAsia="en-GB"/>
              </w:rPr>
              <w:t>3,216</w:t>
            </w:r>
          </w:p>
        </w:tc>
        <w:tc>
          <w:tcPr>
            <w:tcW w:w="1016" w:type="dxa"/>
            <w:noWrap/>
            <w:hideMark/>
          </w:tcPr>
          <w:p w14:paraId="1E846776" w14:textId="77777777" w:rsidR="00007312" w:rsidRPr="00B25DFD" w:rsidRDefault="00007312" w:rsidP="00B25DFD">
            <w:pPr>
              <w:keepNext/>
              <w:keepLines/>
              <w:jc w:val="right"/>
              <w:rPr>
                <w:sz w:val="20"/>
                <w:szCs w:val="20"/>
                <w:lang w:eastAsia="en-GB"/>
              </w:rPr>
            </w:pPr>
            <w:r w:rsidRPr="00B25DFD">
              <w:rPr>
                <w:sz w:val="20"/>
                <w:szCs w:val="20"/>
                <w:lang w:eastAsia="en-GB"/>
              </w:rPr>
              <w:t>8,397</w:t>
            </w:r>
          </w:p>
        </w:tc>
        <w:tc>
          <w:tcPr>
            <w:tcW w:w="1016" w:type="dxa"/>
            <w:noWrap/>
            <w:hideMark/>
          </w:tcPr>
          <w:p w14:paraId="5881DB5A" w14:textId="77777777" w:rsidR="00007312" w:rsidRPr="00B25DFD" w:rsidRDefault="00007312" w:rsidP="00B25DFD">
            <w:pPr>
              <w:keepNext/>
              <w:keepLines/>
              <w:jc w:val="right"/>
              <w:rPr>
                <w:sz w:val="20"/>
                <w:szCs w:val="20"/>
                <w:lang w:eastAsia="en-GB"/>
              </w:rPr>
            </w:pPr>
            <w:r w:rsidRPr="00B25DFD">
              <w:rPr>
                <w:sz w:val="20"/>
                <w:szCs w:val="20"/>
                <w:lang w:eastAsia="en-GB"/>
              </w:rPr>
              <w:t>8,096</w:t>
            </w:r>
          </w:p>
        </w:tc>
        <w:tc>
          <w:tcPr>
            <w:tcW w:w="1016" w:type="dxa"/>
            <w:noWrap/>
            <w:hideMark/>
          </w:tcPr>
          <w:p w14:paraId="08C90276" w14:textId="77777777" w:rsidR="00007312" w:rsidRPr="00B25DFD" w:rsidRDefault="00007312" w:rsidP="00B25DFD">
            <w:pPr>
              <w:keepNext/>
              <w:keepLines/>
              <w:jc w:val="right"/>
              <w:rPr>
                <w:sz w:val="20"/>
                <w:szCs w:val="20"/>
                <w:lang w:eastAsia="en-GB"/>
              </w:rPr>
            </w:pPr>
            <w:r w:rsidRPr="00B25DFD">
              <w:rPr>
                <w:sz w:val="20"/>
                <w:szCs w:val="20"/>
                <w:lang w:eastAsia="en-GB"/>
              </w:rPr>
              <w:t>822</w:t>
            </w:r>
          </w:p>
        </w:tc>
      </w:tr>
      <w:tr w:rsidR="00007312" w:rsidRPr="00007312" w14:paraId="15C5156B" w14:textId="77777777" w:rsidTr="00007312">
        <w:trPr>
          <w:trHeight w:val="285"/>
        </w:trPr>
        <w:tc>
          <w:tcPr>
            <w:tcW w:w="3937" w:type="dxa"/>
            <w:noWrap/>
            <w:hideMark/>
          </w:tcPr>
          <w:p w14:paraId="4169943D" w14:textId="77777777" w:rsidR="00007312" w:rsidRPr="00B25DFD" w:rsidRDefault="00007312" w:rsidP="00B25DFD">
            <w:pPr>
              <w:keepNext/>
              <w:keepLines/>
              <w:rPr>
                <w:sz w:val="20"/>
                <w:szCs w:val="20"/>
                <w:lang w:eastAsia="en-GB"/>
              </w:rPr>
            </w:pPr>
            <w:r w:rsidRPr="00B25DFD">
              <w:rPr>
                <w:sz w:val="20"/>
                <w:szCs w:val="20"/>
                <w:lang w:eastAsia="en-GB"/>
              </w:rPr>
              <w:t>Employment incentives</w:t>
            </w:r>
          </w:p>
        </w:tc>
        <w:tc>
          <w:tcPr>
            <w:tcW w:w="1015" w:type="dxa"/>
            <w:noWrap/>
            <w:hideMark/>
          </w:tcPr>
          <w:p w14:paraId="0A68AD8C"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6CD68EFA"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7E37F2B8" w14:textId="77777777" w:rsidR="00007312" w:rsidRPr="00B25DFD" w:rsidRDefault="00007312" w:rsidP="00B25DFD">
            <w:pPr>
              <w:keepNext/>
              <w:keepLines/>
              <w:jc w:val="right"/>
              <w:rPr>
                <w:sz w:val="20"/>
                <w:szCs w:val="20"/>
                <w:lang w:eastAsia="en-GB"/>
              </w:rPr>
            </w:pPr>
            <w:r w:rsidRPr="00B25DFD">
              <w:rPr>
                <w:sz w:val="20"/>
                <w:szCs w:val="20"/>
                <w:lang w:eastAsia="en-GB"/>
              </w:rPr>
              <w:t>23,142</w:t>
            </w:r>
          </w:p>
        </w:tc>
        <w:tc>
          <w:tcPr>
            <w:tcW w:w="1016" w:type="dxa"/>
            <w:noWrap/>
            <w:hideMark/>
          </w:tcPr>
          <w:p w14:paraId="43677E3F" w14:textId="77777777" w:rsidR="00007312" w:rsidRPr="00B25DFD" w:rsidRDefault="00007312" w:rsidP="00B25DFD">
            <w:pPr>
              <w:keepNext/>
              <w:keepLines/>
              <w:jc w:val="right"/>
              <w:rPr>
                <w:sz w:val="20"/>
                <w:szCs w:val="20"/>
                <w:lang w:eastAsia="en-GB"/>
              </w:rPr>
            </w:pPr>
            <w:r w:rsidRPr="00B25DFD">
              <w:rPr>
                <w:sz w:val="20"/>
                <w:szCs w:val="20"/>
                <w:lang w:eastAsia="en-GB"/>
              </w:rPr>
              <w:t>27,314</w:t>
            </w:r>
          </w:p>
        </w:tc>
        <w:tc>
          <w:tcPr>
            <w:tcW w:w="1016" w:type="dxa"/>
            <w:noWrap/>
            <w:hideMark/>
          </w:tcPr>
          <w:p w14:paraId="74630509" w14:textId="77777777" w:rsidR="00007312" w:rsidRPr="00B25DFD" w:rsidRDefault="00007312" w:rsidP="00B25DFD">
            <w:pPr>
              <w:keepNext/>
              <w:keepLines/>
              <w:jc w:val="right"/>
              <w:rPr>
                <w:sz w:val="20"/>
                <w:szCs w:val="20"/>
                <w:lang w:eastAsia="en-GB"/>
              </w:rPr>
            </w:pPr>
            <w:r w:rsidRPr="00B25DFD">
              <w:rPr>
                <w:sz w:val="20"/>
                <w:szCs w:val="20"/>
                <w:lang w:eastAsia="en-GB"/>
              </w:rPr>
              <w:t>19,382</w:t>
            </w:r>
          </w:p>
        </w:tc>
      </w:tr>
      <w:tr w:rsidR="00007312" w:rsidRPr="00007312" w14:paraId="6D48CD47" w14:textId="77777777" w:rsidTr="00007312">
        <w:trPr>
          <w:trHeight w:val="285"/>
        </w:trPr>
        <w:tc>
          <w:tcPr>
            <w:tcW w:w="3937" w:type="dxa"/>
            <w:noWrap/>
            <w:hideMark/>
          </w:tcPr>
          <w:p w14:paraId="44D37A1F" w14:textId="77777777" w:rsidR="00007312" w:rsidRPr="00B25DFD" w:rsidRDefault="00007312" w:rsidP="00B25DFD">
            <w:pPr>
              <w:keepNext/>
              <w:keepLines/>
              <w:rPr>
                <w:sz w:val="20"/>
                <w:szCs w:val="20"/>
                <w:lang w:eastAsia="en-GB"/>
              </w:rPr>
            </w:pPr>
            <w:r w:rsidRPr="00B25DFD">
              <w:rPr>
                <w:sz w:val="20"/>
                <w:szCs w:val="20"/>
                <w:lang w:eastAsia="en-GB"/>
              </w:rPr>
              <w:t>Allowance for on-the-job training</w:t>
            </w:r>
          </w:p>
        </w:tc>
        <w:tc>
          <w:tcPr>
            <w:tcW w:w="1015" w:type="dxa"/>
            <w:noWrap/>
            <w:hideMark/>
          </w:tcPr>
          <w:p w14:paraId="0000BF59" w14:textId="77777777" w:rsidR="00007312" w:rsidRPr="00B25DFD" w:rsidRDefault="00007312" w:rsidP="00B25DFD">
            <w:pPr>
              <w:keepNext/>
              <w:keepLines/>
              <w:jc w:val="right"/>
              <w:rPr>
                <w:sz w:val="20"/>
                <w:szCs w:val="20"/>
                <w:lang w:eastAsia="en-GB"/>
              </w:rPr>
            </w:pPr>
            <w:r w:rsidRPr="00B25DFD">
              <w:rPr>
                <w:sz w:val="20"/>
                <w:szCs w:val="20"/>
                <w:lang w:eastAsia="en-GB"/>
              </w:rPr>
              <w:t>4</w:t>
            </w:r>
          </w:p>
        </w:tc>
        <w:tc>
          <w:tcPr>
            <w:tcW w:w="1016" w:type="dxa"/>
            <w:noWrap/>
            <w:hideMark/>
          </w:tcPr>
          <w:p w14:paraId="37B962C5" w14:textId="77777777" w:rsidR="00007312" w:rsidRPr="00B25DFD" w:rsidRDefault="00007312" w:rsidP="00B25DFD">
            <w:pPr>
              <w:keepNext/>
              <w:keepLines/>
              <w:jc w:val="right"/>
              <w:rPr>
                <w:sz w:val="20"/>
                <w:szCs w:val="20"/>
                <w:lang w:eastAsia="en-GB"/>
              </w:rPr>
            </w:pPr>
            <w:r w:rsidRPr="00B25DFD">
              <w:rPr>
                <w:sz w:val="20"/>
                <w:szCs w:val="20"/>
                <w:lang w:eastAsia="en-GB"/>
              </w:rPr>
              <w:t>22</w:t>
            </w:r>
          </w:p>
        </w:tc>
        <w:tc>
          <w:tcPr>
            <w:tcW w:w="1016" w:type="dxa"/>
            <w:noWrap/>
            <w:hideMark/>
          </w:tcPr>
          <w:p w14:paraId="5E0EE433" w14:textId="77777777" w:rsidR="00007312" w:rsidRPr="00B25DFD" w:rsidRDefault="00007312" w:rsidP="00B25DFD">
            <w:pPr>
              <w:keepNext/>
              <w:keepLines/>
              <w:jc w:val="right"/>
              <w:rPr>
                <w:sz w:val="20"/>
                <w:szCs w:val="20"/>
                <w:lang w:eastAsia="en-GB"/>
              </w:rPr>
            </w:pPr>
            <w:r w:rsidRPr="00B25DFD">
              <w:rPr>
                <w:sz w:val="20"/>
                <w:szCs w:val="20"/>
                <w:lang w:eastAsia="en-GB"/>
              </w:rPr>
              <w:t>28</w:t>
            </w:r>
          </w:p>
        </w:tc>
        <w:tc>
          <w:tcPr>
            <w:tcW w:w="1016" w:type="dxa"/>
            <w:noWrap/>
            <w:hideMark/>
          </w:tcPr>
          <w:p w14:paraId="7C556ED6" w14:textId="77777777" w:rsidR="00007312" w:rsidRPr="00B25DFD" w:rsidRDefault="00007312" w:rsidP="00B25DFD">
            <w:pPr>
              <w:keepNext/>
              <w:keepLines/>
              <w:jc w:val="right"/>
              <w:rPr>
                <w:sz w:val="20"/>
                <w:szCs w:val="20"/>
                <w:lang w:eastAsia="en-GB"/>
              </w:rPr>
            </w:pPr>
            <w:r w:rsidRPr="00B25DFD">
              <w:rPr>
                <w:sz w:val="20"/>
                <w:szCs w:val="20"/>
                <w:lang w:eastAsia="en-GB"/>
              </w:rPr>
              <w:t>1</w:t>
            </w:r>
          </w:p>
        </w:tc>
        <w:tc>
          <w:tcPr>
            <w:tcW w:w="1016" w:type="dxa"/>
            <w:noWrap/>
            <w:hideMark/>
          </w:tcPr>
          <w:p w14:paraId="748A00AC" w14:textId="77777777" w:rsidR="00007312" w:rsidRPr="00B25DFD" w:rsidRDefault="00007312" w:rsidP="00B25DFD">
            <w:pPr>
              <w:keepNext/>
              <w:keepLines/>
              <w:jc w:val="right"/>
              <w:rPr>
                <w:sz w:val="20"/>
                <w:szCs w:val="20"/>
                <w:lang w:eastAsia="en-GB"/>
              </w:rPr>
            </w:pPr>
            <w:r w:rsidRPr="00B25DFD">
              <w:rPr>
                <w:sz w:val="20"/>
                <w:szCs w:val="20"/>
                <w:lang w:eastAsia="en-GB"/>
              </w:rPr>
              <w:t>0</w:t>
            </w:r>
          </w:p>
        </w:tc>
      </w:tr>
      <w:tr w:rsidR="00007312" w:rsidRPr="00007312" w14:paraId="65AFDE8A" w14:textId="77777777" w:rsidTr="00007312">
        <w:trPr>
          <w:trHeight w:val="285"/>
        </w:trPr>
        <w:tc>
          <w:tcPr>
            <w:tcW w:w="3937" w:type="dxa"/>
            <w:noWrap/>
            <w:hideMark/>
          </w:tcPr>
          <w:p w14:paraId="1CF8144E" w14:textId="77777777" w:rsidR="00007312" w:rsidRPr="00B25DFD" w:rsidRDefault="00007312" w:rsidP="00B25DFD">
            <w:pPr>
              <w:keepNext/>
              <w:keepLines/>
              <w:rPr>
                <w:sz w:val="20"/>
                <w:szCs w:val="20"/>
                <w:lang w:eastAsia="en-GB"/>
              </w:rPr>
            </w:pPr>
            <w:r w:rsidRPr="00B25DFD">
              <w:rPr>
                <w:sz w:val="20"/>
                <w:szCs w:val="20"/>
                <w:lang w:eastAsia="en-GB"/>
              </w:rPr>
              <w:t>LMP - Targeted Programs</w:t>
            </w:r>
          </w:p>
        </w:tc>
        <w:tc>
          <w:tcPr>
            <w:tcW w:w="1015" w:type="dxa"/>
            <w:noWrap/>
            <w:hideMark/>
          </w:tcPr>
          <w:p w14:paraId="742FC362"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676778A4"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078C171B" w14:textId="77777777" w:rsidR="00007312" w:rsidRPr="00B25DFD" w:rsidRDefault="00007312" w:rsidP="00B25DFD">
            <w:pPr>
              <w:keepNext/>
              <w:keepLines/>
              <w:jc w:val="right"/>
              <w:rPr>
                <w:sz w:val="20"/>
                <w:szCs w:val="20"/>
                <w:lang w:eastAsia="en-GB"/>
              </w:rPr>
            </w:pPr>
            <w:r w:rsidRPr="00B25DFD">
              <w:rPr>
                <w:sz w:val="20"/>
                <w:szCs w:val="20"/>
                <w:lang w:eastAsia="en-GB"/>
              </w:rPr>
              <w:t>7,065</w:t>
            </w:r>
          </w:p>
        </w:tc>
        <w:tc>
          <w:tcPr>
            <w:tcW w:w="1016" w:type="dxa"/>
            <w:noWrap/>
            <w:hideMark/>
          </w:tcPr>
          <w:p w14:paraId="245F0D06" w14:textId="77777777" w:rsidR="00007312" w:rsidRPr="00B25DFD" w:rsidRDefault="00007312" w:rsidP="00B25DFD">
            <w:pPr>
              <w:keepNext/>
              <w:keepLines/>
              <w:jc w:val="right"/>
              <w:rPr>
                <w:sz w:val="20"/>
                <w:szCs w:val="20"/>
                <w:lang w:eastAsia="en-GB"/>
              </w:rPr>
            </w:pPr>
            <w:r w:rsidRPr="00B25DFD">
              <w:rPr>
                <w:sz w:val="20"/>
                <w:szCs w:val="20"/>
                <w:lang w:eastAsia="en-GB"/>
              </w:rPr>
              <w:t>2,667</w:t>
            </w:r>
          </w:p>
        </w:tc>
        <w:tc>
          <w:tcPr>
            <w:tcW w:w="1016" w:type="dxa"/>
            <w:noWrap/>
            <w:hideMark/>
          </w:tcPr>
          <w:p w14:paraId="6D836B14" w14:textId="77777777" w:rsidR="00007312" w:rsidRPr="00B25DFD" w:rsidRDefault="00007312" w:rsidP="00B25DFD">
            <w:pPr>
              <w:keepNext/>
              <w:keepLines/>
              <w:jc w:val="right"/>
              <w:rPr>
                <w:sz w:val="20"/>
                <w:szCs w:val="20"/>
                <w:lang w:eastAsia="en-GB"/>
              </w:rPr>
            </w:pPr>
            <w:r w:rsidRPr="00B25DFD">
              <w:rPr>
                <w:sz w:val="20"/>
                <w:szCs w:val="20"/>
                <w:lang w:eastAsia="en-GB"/>
              </w:rPr>
              <w:t>906</w:t>
            </w:r>
          </w:p>
        </w:tc>
      </w:tr>
      <w:tr w:rsidR="00007312" w:rsidRPr="00007312" w14:paraId="3614222C" w14:textId="77777777" w:rsidTr="00007312">
        <w:trPr>
          <w:trHeight w:val="285"/>
        </w:trPr>
        <w:tc>
          <w:tcPr>
            <w:tcW w:w="3937" w:type="dxa"/>
            <w:noWrap/>
            <w:hideMark/>
          </w:tcPr>
          <w:p w14:paraId="26F95323" w14:textId="77777777" w:rsidR="00007312" w:rsidRPr="00B25DFD" w:rsidRDefault="00007312" w:rsidP="00B25DFD">
            <w:pPr>
              <w:keepNext/>
              <w:keepLines/>
              <w:rPr>
                <w:sz w:val="20"/>
                <w:szCs w:val="20"/>
                <w:lang w:eastAsia="en-GB"/>
              </w:rPr>
            </w:pPr>
            <w:r w:rsidRPr="00B25DFD">
              <w:rPr>
                <w:sz w:val="20"/>
                <w:szCs w:val="20"/>
                <w:lang w:eastAsia="en-GB"/>
              </w:rPr>
              <w:t>Commute to Work Benefits</w:t>
            </w:r>
          </w:p>
        </w:tc>
        <w:tc>
          <w:tcPr>
            <w:tcW w:w="1015" w:type="dxa"/>
            <w:noWrap/>
            <w:hideMark/>
          </w:tcPr>
          <w:p w14:paraId="45F73AFC"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389EA426"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390C0E09"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1E834D02" w14:textId="77777777" w:rsidR="00007312" w:rsidRPr="00B25DFD" w:rsidRDefault="00007312" w:rsidP="00B25DFD">
            <w:pPr>
              <w:keepNext/>
              <w:keepLines/>
              <w:jc w:val="right"/>
              <w:rPr>
                <w:sz w:val="20"/>
                <w:szCs w:val="20"/>
                <w:lang w:eastAsia="en-GB"/>
              </w:rPr>
            </w:pPr>
            <w:r w:rsidRPr="00B25DFD">
              <w:rPr>
                <w:sz w:val="20"/>
                <w:szCs w:val="20"/>
                <w:lang w:eastAsia="en-GB"/>
              </w:rPr>
              <w:t>:</w:t>
            </w:r>
          </w:p>
        </w:tc>
        <w:tc>
          <w:tcPr>
            <w:tcW w:w="1016" w:type="dxa"/>
            <w:noWrap/>
            <w:hideMark/>
          </w:tcPr>
          <w:p w14:paraId="2E2E021F" w14:textId="77777777" w:rsidR="00007312" w:rsidRPr="00B25DFD" w:rsidRDefault="00007312" w:rsidP="00B25DFD">
            <w:pPr>
              <w:keepNext/>
              <w:keepLines/>
              <w:jc w:val="right"/>
              <w:rPr>
                <w:sz w:val="20"/>
                <w:szCs w:val="20"/>
                <w:lang w:eastAsia="en-GB"/>
              </w:rPr>
            </w:pPr>
            <w:r w:rsidRPr="00B25DFD">
              <w:rPr>
                <w:sz w:val="20"/>
                <w:szCs w:val="20"/>
                <w:lang w:eastAsia="en-GB"/>
              </w:rPr>
              <w:t>198</w:t>
            </w:r>
          </w:p>
        </w:tc>
      </w:tr>
      <w:tr w:rsidR="00007312" w:rsidRPr="00007312" w14:paraId="057B3013" w14:textId="77777777" w:rsidTr="00007312">
        <w:trPr>
          <w:trHeight w:val="285"/>
        </w:trPr>
        <w:tc>
          <w:tcPr>
            <w:tcW w:w="3937" w:type="dxa"/>
            <w:noWrap/>
            <w:hideMark/>
          </w:tcPr>
          <w:p w14:paraId="3D6FD3B1" w14:textId="77777777" w:rsidR="00007312" w:rsidRPr="00B25DFD" w:rsidRDefault="00007312" w:rsidP="00B25DFD">
            <w:pPr>
              <w:keepNext/>
              <w:keepLines/>
              <w:rPr>
                <w:sz w:val="20"/>
                <w:szCs w:val="20"/>
                <w:lang w:eastAsia="en-GB"/>
              </w:rPr>
            </w:pPr>
            <w:r w:rsidRPr="00B25DFD">
              <w:rPr>
                <w:sz w:val="20"/>
                <w:szCs w:val="20"/>
                <w:lang w:eastAsia="en-GB"/>
              </w:rPr>
              <w:t>Subsidised new working places (SUPM)</w:t>
            </w:r>
          </w:p>
        </w:tc>
        <w:tc>
          <w:tcPr>
            <w:tcW w:w="1015" w:type="dxa"/>
            <w:noWrap/>
            <w:hideMark/>
          </w:tcPr>
          <w:p w14:paraId="061901C0" w14:textId="77777777" w:rsidR="00007312" w:rsidRPr="00B25DFD" w:rsidRDefault="00007312" w:rsidP="00B25DFD">
            <w:pPr>
              <w:keepNext/>
              <w:keepLines/>
              <w:jc w:val="right"/>
              <w:rPr>
                <w:sz w:val="20"/>
                <w:szCs w:val="20"/>
                <w:lang w:eastAsia="en-GB"/>
              </w:rPr>
            </w:pPr>
            <w:r w:rsidRPr="00B25DFD">
              <w:rPr>
                <w:sz w:val="20"/>
                <w:szCs w:val="20"/>
                <w:lang w:eastAsia="en-GB"/>
              </w:rPr>
              <w:t>4,237</w:t>
            </w:r>
          </w:p>
        </w:tc>
        <w:tc>
          <w:tcPr>
            <w:tcW w:w="1016" w:type="dxa"/>
            <w:noWrap/>
            <w:hideMark/>
          </w:tcPr>
          <w:p w14:paraId="0864CB11" w14:textId="77777777" w:rsidR="00007312" w:rsidRPr="00B25DFD" w:rsidRDefault="00007312" w:rsidP="00B25DFD">
            <w:pPr>
              <w:keepNext/>
              <w:keepLines/>
              <w:jc w:val="right"/>
              <w:rPr>
                <w:sz w:val="20"/>
                <w:szCs w:val="20"/>
                <w:lang w:eastAsia="en-GB"/>
              </w:rPr>
            </w:pPr>
            <w:r w:rsidRPr="00B25DFD">
              <w:rPr>
                <w:sz w:val="20"/>
                <w:szCs w:val="20"/>
                <w:lang w:eastAsia="en-GB"/>
              </w:rPr>
              <w:t>9,583</w:t>
            </w:r>
          </w:p>
        </w:tc>
        <w:tc>
          <w:tcPr>
            <w:tcW w:w="1016" w:type="dxa"/>
            <w:noWrap/>
            <w:hideMark/>
          </w:tcPr>
          <w:p w14:paraId="1DCEF404" w14:textId="77777777" w:rsidR="00007312" w:rsidRPr="00B25DFD" w:rsidRDefault="00007312" w:rsidP="00B25DFD">
            <w:pPr>
              <w:keepNext/>
              <w:keepLines/>
              <w:jc w:val="right"/>
              <w:rPr>
                <w:sz w:val="20"/>
                <w:szCs w:val="20"/>
                <w:lang w:eastAsia="en-GB"/>
              </w:rPr>
            </w:pPr>
            <w:r w:rsidRPr="00B25DFD">
              <w:rPr>
                <w:sz w:val="20"/>
                <w:szCs w:val="20"/>
                <w:lang w:eastAsia="en-GB"/>
              </w:rPr>
              <w:t>16,049</w:t>
            </w:r>
          </w:p>
        </w:tc>
        <w:tc>
          <w:tcPr>
            <w:tcW w:w="1016" w:type="dxa"/>
            <w:noWrap/>
            <w:hideMark/>
          </w:tcPr>
          <w:p w14:paraId="2773F0B5" w14:textId="77777777" w:rsidR="00007312" w:rsidRPr="00B25DFD" w:rsidRDefault="00007312" w:rsidP="00B25DFD">
            <w:pPr>
              <w:keepNext/>
              <w:keepLines/>
              <w:jc w:val="right"/>
              <w:rPr>
                <w:sz w:val="20"/>
                <w:szCs w:val="20"/>
                <w:lang w:eastAsia="en-GB"/>
              </w:rPr>
            </w:pPr>
            <w:r w:rsidRPr="00B25DFD">
              <w:rPr>
                <w:sz w:val="20"/>
                <w:szCs w:val="20"/>
                <w:lang w:eastAsia="en-GB"/>
              </w:rPr>
              <w:t>24,646</w:t>
            </w:r>
          </w:p>
        </w:tc>
        <w:tc>
          <w:tcPr>
            <w:tcW w:w="1016" w:type="dxa"/>
            <w:noWrap/>
            <w:hideMark/>
          </w:tcPr>
          <w:p w14:paraId="25E60C86" w14:textId="77777777" w:rsidR="00007312" w:rsidRPr="00B25DFD" w:rsidRDefault="00007312" w:rsidP="00B25DFD">
            <w:pPr>
              <w:keepNext/>
              <w:keepLines/>
              <w:jc w:val="right"/>
              <w:rPr>
                <w:sz w:val="20"/>
                <w:szCs w:val="20"/>
                <w:lang w:eastAsia="en-GB"/>
              </w:rPr>
            </w:pPr>
            <w:r w:rsidRPr="00B25DFD">
              <w:rPr>
                <w:sz w:val="20"/>
                <w:szCs w:val="20"/>
                <w:lang w:eastAsia="en-GB"/>
              </w:rPr>
              <w:t>18,278</w:t>
            </w:r>
          </w:p>
        </w:tc>
      </w:tr>
      <w:tr w:rsidR="00007312" w:rsidRPr="00007312" w14:paraId="39F707EF" w14:textId="77777777" w:rsidTr="00007312">
        <w:trPr>
          <w:trHeight w:val="285"/>
        </w:trPr>
        <w:tc>
          <w:tcPr>
            <w:tcW w:w="3937" w:type="dxa"/>
            <w:noWrap/>
            <w:hideMark/>
          </w:tcPr>
          <w:p w14:paraId="5298FB6F" w14:textId="77777777" w:rsidR="00007312" w:rsidRPr="00B25DFD" w:rsidRDefault="00007312" w:rsidP="00B25DFD">
            <w:pPr>
              <w:keepNext/>
              <w:keepLines/>
              <w:rPr>
                <w:sz w:val="20"/>
                <w:szCs w:val="20"/>
                <w:lang w:eastAsia="en-GB"/>
              </w:rPr>
            </w:pPr>
            <w:r w:rsidRPr="00B25DFD">
              <w:rPr>
                <w:sz w:val="20"/>
                <w:szCs w:val="20"/>
                <w:lang w:eastAsia="en-GB"/>
              </w:rPr>
              <w:t>Supported employment and rehabilitation</w:t>
            </w:r>
          </w:p>
        </w:tc>
        <w:tc>
          <w:tcPr>
            <w:tcW w:w="1015" w:type="dxa"/>
            <w:noWrap/>
            <w:hideMark/>
          </w:tcPr>
          <w:p w14:paraId="51F2BBCC" w14:textId="77777777" w:rsidR="00007312" w:rsidRPr="00B25DFD" w:rsidRDefault="00007312" w:rsidP="00B25DFD">
            <w:pPr>
              <w:keepNext/>
              <w:keepLines/>
              <w:jc w:val="right"/>
              <w:rPr>
                <w:sz w:val="20"/>
                <w:szCs w:val="20"/>
                <w:lang w:eastAsia="en-GB"/>
              </w:rPr>
            </w:pPr>
            <w:r w:rsidRPr="00B25DFD">
              <w:rPr>
                <w:sz w:val="20"/>
                <w:szCs w:val="20"/>
                <w:lang w:eastAsia="en-GB"/>
              </w:rPr>
              <w:t>36,081</w:t>
            </w:r>
          </w:p>
        </w:tc>
        <w:tc>
          <w:tcPr>
            <w:tcW w:w="1016" w:type="dxa"/>
            <w:noWrap/>
            <w:hideMark/>
          </w:tcPr>
          <w:p w14:paraId="681B5F38" w14:textId="77777777" w:rsidR="00007312" w:rsidRPr="00B25DFD" w:rsidRDefault="00007312" w:rsidP="00B25DFD">
            <w:pPr>
              <w:keepNext/>
              <w:keepLines/>
              <w:jc w:val="right"/>
              <w:rPr>
                <w:sz w:val="20"/>
                <w:szCs w:val="20"/>
                <w:lang w:eastAsia="en-GB"/>
              </w:rPr>
            </w:pPr>
            <w:r w:rsidRPr="00B25DFD">
              <w:rPr>
                <w:sz w:val="20"/>
                <w:szCs w:val="20"/>
                <w:lang w:eastAsia="en-GB"/>
              </w:rPr>
              <w:t>22,584</w:t>
            </w:r>
          </w:p>
        </w:tc>
        <w:tc>
          <w:tcPr>
            <w:tcW w:w="1016" w:type="dxa"/>
            <w:noWrap/>
            <w:hideMark/>
          </w:tcPr>
          <w:p w14:paraId="7D20C693" w14:textId="77777777" w:rsidR="00007312" w:rsidRPr="00B25DFD" w:rsidRDefault="00007312" w:rsidP="00B25DFD">
            <w:pPr>
              <w:keepNext/>
              <w:keepLines/>
              <w:jc w:val="right"/>
              <w:rPr>
                <w:sz w:val="20"/>
                <w:szCs w:val="20"/>
                <w:lang w:eastAsia="en-GB"/>
              </w:rPr>
            </w:pPr>
            <w:r w:rsidRPr="00B25DFD">
              <w:rPr>
                <w:sz w:val="20"/>
                <w:szCs w:val="20"/>
                <w:lang w:eastAsia="en-GB"/>
              </w:rPr>
              <w:t>28,804</w:t>
            </w:r>
          </w:p>
        </w:tc>
        <w:tc>
          <w:tcPr>
            <w:tcW w:w="1016" w:type="dxa"/>
            <w:noWrap/>
            <w:hideMark/>
          </w:tcPr>
          <w:p w14:paraId="6D6EF06F" w14:textId="77777777" w:rsidR="00007312" w:rsidRPr="00B25DFD" w:rsidRDefault="00007312" w:rsidP="00B25DFD">
            <w:pPr>
              <w:keepNext/>
              <w:keepLines/>
              <w:jc w:val="right"/>
              <w:rPr>
                <w:sz w:val="20"/>
                <w:szCs w:val="20"/>
                <w:lang w:eastAsia="en-GB"/>
              </w:rPr>
            </w:pPr>
            <w:r w:rsidRPr="00B25DFD">
              <w:rPr>
                <w:sz w:val="20"/>
                <w:szCs w:val="20"/>
                <w:lang w:eastAsia="en-GB"/>
              </w:rPr>
              <w:t>30,555</w:t>
            </w:r>
          </w:p>
        </w:tc>
        <w:tc>
          <w:tcPr>
            <w:tcW w:w="1016" w:type="dxa"/>
            <w:noWrap/>
            <w:hideMark/>
          </w:tcPr>
          <w:p w14:paraId="540AB60E" w14:textId="77777777" w:rsidR="00007312" w:rsidRPr="00B25DFD" w:rsidRDefault="00007312" w:rsidP="00B25DFD">
            <w:pPr>
              <w:keepNext/>
              <w:keepLines/>
              <w:jc w:val="right"/>
              <w:rPr>
                <w:sz w:val="20"/>
                <w:szCs w:val="20"/>
                <w:lang w:eastAsia="en-GB"/>
              </w:rPr>
            </w:pPr>
            <w:r w:rsidRPr="00B25DFD">
              <w:rPr>
                <w:sz w:val="20"/>
                <w:szCs w:val="20"/>
                <w:lang w:eastAsia="en-GB"/>
              </w:rPr>
              <w:t>36,626</w:t>
            </w:r>
          </w:p>
        </w:tc>
      </w:tr>
      <w:tr w:rsidR="00007312" w:rsidRPr="00007312" w14:paraId="174DE143" w14:textId="77777777" w:rsidTr="00007312">
        <w:trPr>
          <w:trHeight w:val="285"/>
        </w:trPr>
        <w:tc>
          <w:tcPr>
            <w:tcW w:w="3937" w:type="dxa"/>
            <w:noWrap/>
            <w:hideMark/>
          </w:tcPr>
          <w:p w14:paraId="54F8354A" w14:textId="77777777" w:rsidR="00007312" w:rsidRPr="00B25DFD" w:rsidRDefault="00007312" w:rsidP="00B25DFD">
            <w:pPr>
              <w:keepNext/>
              <w:keepLines/>
              <w:rPr>
                <w:sz w:val="20"/>
                <w:szCs w:val="20"/>
                <w:lang w:eastAsia="en-GB"/>
              </w:rPr>
            </w:pPr>
            <w:r w:rsidRPr="00B25DFD">
              <w:rPr>
                <w:sz w:val="20"/>
                <w:szCs w:val="20"/>
                <w:lang w:eastAsia="en-GB"/>
              </w:rPr>
              <w:t>Contribution to employers for whom more than 50% of employees are disabled persons</w:t>
            </w:r>
          </w:p>
        </w:tc>
        <w:tc>
          <w:tcPr>
            <w:tcW w:w="1015" w:type="dxa"/>
            <w:noWrap/>
            <w:hideMark/>
          </w:tcPr>
          <w:p w14:paraId="51212D13" w14:textId="77777777" w:rsidR="00007312" w:rsidRPr="00B25DFD" w:rsidRDefault="00007312" w:rsidP="00B25DFD">
            <w:pPr>
              <w:keepNext/>
              <w:keepLines/>
              <w:jc w:val="right"/>
              <w:rPr>
                <w:sz w:val="20"/>
                <w:szCs w:val="20"/>
                <w:lang w:eastAsia="en-GB"/>
              </w:rPr>
            </w:pPr>
            <w:r w:rsidRPr="00B25DFD">
              <w:rPr>
                <w:sz w:val="20"/>
                <w:szCs w:val="20"/>
                <w:lang w:eastAsia="en-GB"/>
              </w:rPr>
              <w:t>29,815</w:t>
            </w:r>
          </w:p>
        </w:tc>
        <w:tc>
          <w:tcPr>
            <w:tcW w:w="1016" w:type="dxa"/>
            <w:noWrap/>
            <w:hideMark/>
          </w:tcPr>
          <w:p w14:paraId="00CB1FE7" w14:textId="77777777" w:rsidR="00007312" w:rsidRPr="00B25DFD" w:rsidRDefault="00007312" w:rsidP="00B25DFD">
            <w:pPr>
              <w:keepNext/>
              <w:keepLines/>
              <w:jc w:val="right"/>
              <w:rPr>
                <w:sz w:val="20"/>
                <w:szCs w:val="20"/>
                <w:lang w:eastAsia="en-GB"/>
              </w:rPr>
            </w:pPr>
            <w:r w:rsidRPr="00B25DFD">
              <w:rPr>
                <w:sz w:val="20"/>
                <w:szCs w:val="20"/>
                <w:lang w:eastAsia="en-GB"/>
              </w:rPr>
              <w:t>21,489</w:t>
            </w:r>
          </w:p>
        </w:tc>
        <w:tc>
          <w:tcPr>
            <w:tcW w:w="1016" w:type="dxa"/>
            <w:noWrap/>
            <w:hideMark/>
          </w:tcPr>
          <w:p w14:paraId="0B9386E9" w14:textId="77777777" w:rsidR="00007312" w:rsidRPr="00B25DFD" w:rsidRDefault="00007312" w:rsidP="00B25DFD">
            <w:pPr>
              <w:keepNext/>
              <w:keepLines/>
              <w:jc w:val="right"/>
              <w:rPr>
                <w:sz w:val="20"/>
                <w:szCs w:val="20"/>
                <w:lang w:eastAsia="en-GB"/>
              </w:rPr>
            </w:pPr>
            <w:r w:rsidRPr="00B25DFD">
              <w:rPr>
                <w:sz w:val="20"/>
                <w:szCs w:val="20"/>
                <w:lang w:eastAsia="en-GB"/>
              </w:rPr>
              <w:t>27,339</w:t>
            </w:r>
          </w:p>
        </w:tc>
        <w:tc>
          <w:tcPr>
            <w:tcW w:w="1016" w:type="dxa"/>
            <w:noWrap/>
            <w:hideMark/>
          </w:tcPr>
          <w:p w14:paraId="35AB4FA5" w14:textId="77777777" w:rsidR="00007312" w:rsidRPr="00B25DFD" w:rsidRDefault="00007312" w:rsidP="00B25DFD">
            <w:pPr>
              <w:keepNext/>
              <w:keepLines/>
              <w:jc w:val="right"/>
              <w:rPr>
                <w:sz w:val="20"/>
                <w:szCs w:val="20"/>
                <w:lang w:eastAsia="en-GB"/>
              </w:rPr>
            </w:pPr>
            <w:r w:rsidRPr="00B25DFD">
              <w:rPr>
                <w:sz w:val="20"/>
                <w:szCs w:val="20"/>
                <w:lang w:eastAsia="en-GB"/>
              </w:rPr>
              <w:t>28,918</w:t>
            </w:r>
          </w:p>
        </w:tc>
        <w:tc>
          <w:tcPr>
            <w:tcW w:w="1016" w:type="dxa"/>
            <w:noWrap/>
            <w:hideMark/>
          </w:tcPr>
          <w:p w14:paraId="081B385C" w14:textId="77777777" w:rsidR="00007312" w:rsidRPr="00B25DFD" w:rsidRDefault="00007312" w:rsidP="00B25DFD">
            <w:pPr>
              <w:keepNext/>
              <w:keepLines/>
              <w:jc w:val="right"/>
              <w:rPr>
                <w:sz w:val="20"/>
                <w:szCs w:val="20"/>
                <w:lang w:eastAsia="en-GB"/>
              </w:rPr>
            </w:pPr>
            <w:r w:rsidRPr="00B25DFD">
              <w:rPr>
                <w:sz w:val="20"/>
                <w:szCs w:val="20"/>
                <w:lang w:eastAsia="en-GB"/>
              </w:rPr>
              <w:t>34,900</w:t>
            </w:r>
          </w:p>
        </w:tc>
      </w:tr>
      <w:tr w:rsidR="00007312" w:rsidRPr="00007312" w14:paraId="487BC5BF" w14:textId="77777777" w:rsidTr="00007312">
        <w:trPr>
          <w:trHeight w:val="285"/>
        </w:trPr>
        <w:tc>
          <w:tcPr>
            <w:tcW w:w="3937" w:type="dxa"/>
            <w:noWrap/>
            <w:hideMark/>
          </w:tcPr>
          <w:p w14:paraId="21C797E4" w14:textId="77777777" w:rsidR="00007312" w:rsidRPr="00B25DFD" w:rsidRDefault="00007312" w:rsidP="00B25DFD">
            <w:pPr>
              <w:keepNext/>
              <w:keepLines/>
              <w:rPr>
                <w:sz w:val="20"/>
                <w:szCs w:val="20"/>
                <w:lang w:eastAsia="en-GB"/>
              </w:rPr>
            </w:pPr>
            <w:r w:rsidRPr="00B25DFD">
              <w:rPr>
                <w:sz w:val="20"/>
                <w:szCs w:val="20"/>
                <w:lang w:eastAsia="en-GB"/>
              </w:rPr>
              <w:t>Contribution to employers for establishing and running sheltered workshops and working places</w:t>
            </w:r>
          </w:p>
        </w:tc>
        <w:tc>
          <w:tcPr>
            <w:tcW w:w="1015" w:type="dxa"/>
            <w:noWrap/>
            <w:hideMark/>
          </w:tcPr>
          <w:p w14:paraId="011AC36C" w14:textId="77777777" w:rsidR="00007312" w:rsidRPr="00B25DFD" w:rsidRDefault="00007312" w:rsidP="00B25DFD">
            <w:pPr>
              <w:keepNext/>
              <w:keepLines/>
              <w:jc w:val="right"/>
              <w:rPr>
                <w:sz w:val="20"/>
                <w:szCs w:val="20"/>
                <w:lang w:eastAsia="en-GB"/>
              </w:rPr>
            </w:pPr>
            <w:r w:rsidRPr="00B25DFD">
              <w:rPr>
                <w:sz w:val="20"/>
                <w:szCs w:val="20"/>
                <w:lang w:eastAsia="en-GB"/>
              </w:rPr>
              <w:t>6,266</w:t>
            </w:r>
          </w:p>
        </w:tc>
        <w:tc>
          <w:tcPr>
            <w:tcW w:w="1016" w:type="dxa"/>
            <w:noWrap/>
            <w:hideMark/>
          </w:tcPr>
          <w:p w14:paraId="7AC7C58C" w14:textId="77777777" w:rsidR="00007312" w:rsidRPr="00B25DFD" w:rsidRDefault="00007312" w:rsidP="00B25DFD">
            <w:pPr>
              <w:keepNext/>
              <w:keepLines/>
              <w:jc w:val="right"/>
              <w:rPr>
                <w:sz w:val="20"/>
                <w:szCs w:val="20"/>
                <w:lang w:eastAsia="en-GB"/>
              </w:rPr>
            </w:pPr>
            <w:r w:rsidRPr="00B25DFD">
              <w:rPr>
                <w:sz w:val="20"/>
                <w:szCs w:val="20"/>
                <w:lang w:eastAsia="en-GB"/>
              </w:rPr>
              <w:t>1,095</w:t>
            </w:r>
          </w:p>
        </w:tc>
        <w:tc>
          <w:tcPr>
            <w:tcW w:w="1016" w:type="dxa"/>
            <w:noWrap/>
            <w:hideMark/>
          </w:tcPr>
          <w:p w14:paraId="5CF2785B" w14:textId="77777777" w:rsidR="00007312" w:rsidRPr="00B25DFD" w:rsidRDefault="00007312" w:rsidP="00B25DFD">
            <w:pPr>
              <w:keepNext/>
              <w:keepLines/>
              <w:jc w:val="right"/>
              <w:rPr>
                <w:sz w:val="20"/>
                <w:szCs w:val="20"/>
                <w:lang w:eastAsia="en-GB"/>
              </w:rPr>
            </w:pPr>
            <w:r w:rsidRPr="00B25DFD">
              <w:rPr>
                <w:sz w:val="20"/>
                <w:szCs w:val="20"/>
                <w:lang w:eastAsia="en-GB"/>
              </w:rPr>
              <w:t>1,465</w:t>
            </w:r>
          </w:p>
        </w:tc>
        <w:tc>
          <w:tcPr>
            <w:tcW w:w="1016" w:type="dxa"/>
            <w:noWrap/>
            <w:hideMark/>
          </w:tcPr>
          <w:p w14:paraId="5D002109" w14:textId="77777777" w:rsidR="00007312" w:rsidRPr="00B25DFD" w:rsidRDefault="00007312" w:rsidP="00B25DFD">
            <w:pPr>
              <w:keepNext/>
              <w:keepLines/>
              <w:jc w:val="right"/>
              <w:rPr>
                <w:sz w:val="20"/>
                <w:szCs w:val="20"/>
                <w:lang w:eastAsia="en-GB"/>
              </w:rPr>
            </w:pPr>
            <w:r w:rsidRPr="00B25DFD">
              <w:rPr>
                <w:sz w:val="20"/>
                <w:szCs w:val="20"/>
                <w:lang w:eastAsia="en-GB"/>
              </w:rPr>
              <w:t>1,637</w:t>
            </w:r>
          </w:p>
        </w:tc>
        <w:tc>
          <w:tcPr>
            <w:tcW w:w="1016" w:type="dxa"/>
            <w:noWrap/>
            <w:hideMark/>
          </w:tcPr>
          <w:p w14:paraId="69003846" w14:textId="77777777" w:rsidR="00007312" w:rsidRPr="00B25DFD" w:rsidRDefault="00007312" w:rsidP="00B25DFD">
            <w:pPr>
              <w:keepNext/>
              <w:keepLines/>
              <w:jc w:val="right"/>
              <w:rPr>
                <w:sz w:val="20"/>
                <w:szCs w:val="20"/>
                <w:lang w:eastAsia="en-GB"/>
              </w:rPr>
            </w:pPr>
            <w:r w:rsidRPr="00B25DFD">
              <w:rPr>
                <w:sz w:val="20"/>
                <w:szCs w:val="20"/>
                <w:lang w:eastAsia="en-GB"/>
              </w:rPr>
              <w:t>1,726</w:t>
            </w:r>
          </w:p>
        </w:tc>
      </w:tr>
      <w:tr w:rsidR="00007312" w:rsidRPr="00007312" w14:paraId="0B50E7E4" w14:textId="77777777" w:rsidTr="00007312">
        <w:trPr>
          <w:trHeight w:val="285"/>
        </w:trPr>
        <w:tc>
          <w:tcPr>
            <w:tcW w:w="3937" w:type="dxa"/>
            <w:noWrap/>
            <w:hideMark/>
          </w:tcPr>
          <w:p w14:paraId="4F5E14F1" w14:textId="77777777" w:rsidR="00007312" w:rsidRPr="00B25DFD" w:rsidRDefault="00007312" w:rsidP="00B25DFD">
            <w:pPr>
              <w:keepNext/>
              <w:keepLines/>
              <w:rPr>
                <w:sz w:val="20"/>
                <w:szCs w:val="20"/>
                <w:lang w:eastAsia="en-GB"/>
              </w:rPr>
            </w:pPr>
            <w:r w:rsidRPr="00B25DFD">
              <w:rPr>
                <w:sz w:val="20"/>
                <w:szCs w:val="20"/>
                <w:lang w:eastAsia="en-GB"/>
              </w:rPr>
              <w:t>Direct job creation</w:t>
            </w:r>
          </w:p>
        </w:tc>
        <w:tc>
          <w:tcPr>
            <w:tcW w:w="1015" w:type="dxa"/>
            <w:noWrap/>
            <w:hideMark/>
          </w:tcPr>
          <w:p w14:paraId="6756323F" w14:textId="77777777" w:rsidR="00007312" w:rsidRPr="00B25DFD" w:rsidRDefault="00007312" w:rsidP="00B25DFD">
            <w:pPr>
              <w:keepNext/>
              <w:keepLines/>
              <w:jc w:val="right"/>
              <w:rPr>
                <w:sz w:val="20"/>
                <w:szCs w:val="20"/>
                <w:lang w:eastAsia="en-GB"/>
              </w:rPr>
            </w:pPr>
            <w:r w:rsidRPr="00B25DFD">
              <w:rPr>
                <w:sz w:val="20"/>
                <w:szCs w:val="20"/>
                <w:lang w:eastAsia="en-GB"/>
              </w:rPr>
              <w:t>6,669</w:t>
            </w:r>
          </w:p>
        </w:tc>
        <w:tc>
          <w:tcPr>
            <w:tcW w:w="1016" w:type="dxa"/>
            <w:noWrap/>
            <w:hideMark/>
          </w:tcPr>
          <w:p w14:paraId="70D28CC6" w14:textId="77777777" w:rsidR="00007312" w:rsidRPr="00B25DFD" w:rsidRDefault="00007312" w:rsidP="00B25DFD">
            <w:pPr>
              <w:keepNext/>
              <w:keepLines/>
              <w:jc w:val="right"/>
              <w:rPr>
                <w:sz w:val="20"/>
                <w:szCs w:val="20"/>
                <w:lang w:eastAsia="en-GB"/>
              </w:rPr>
            </w:pPr>
            <w:r w:rsidRPr="00B25DFD">
              <w:rPr>
                <w:sz w:val="20"/>
                <w:szCs w:val="20"/>
                <w:lang w:eastAsia="en-GB"/>
              </w:rPr>
              <w:t>14,802</w:t>
            </w:r>
          </w:p>
        </w:tc>
        <w:tc>
          <w:tcPr>
            <w:tcW w:w="1016" w:type="dxa"/>
            <w:noWrap/>
            <w:hideMark/>
          </w:tcPr>
          <w:p w14:paraId="586F8BBA" w14:textId="77777777" w:rsidR="00007312" w:rsidRPr="00B25DFD" w:rsidRDefault="00007312" w:rsidP="00B25DFD">
            <w:pPr>
              <w:keepNext/>
              <w:keepLines/>
              <w:jc w:val="right"/>
              <w:rPr>
                <w:sz w:val="20"/>
                <w:szCs w:val="20"/>
                <w:lang w:eastAsia="en-GB"/>
              </w:rPr>
            </w:pPr>
            <w:r w:rsidRPr="00B25DFD">
              <w:rPr>
                <w:sz w:val="20"/>
                <w:szCs w:val="20"/>
                <w:lang w:eastAsia="en-GB"/>
              </w:rPr>
              <w:t>16,109</w:t>
            </w:r>
          </w:p>
        </w:tc>
        <w:tc>
          <w:tcPr>
            <w:tcW w:w="1016" w:type="dxa"/>
            <w:noWrap/>
            <w:hideMark/>
          </w:tcPr>
          <w:p w14:paraId="4A504BE4" w14:textId="77777777" w:rsidR="00007312" w:rsidRPr="00B25DFD" w:rsidRDefault="00007312" w:rsidP="00B25DFD">
            <w:pPr>
              <w:keepNext/>
              <w:keepLines/>
              <w:jc w:val="right"/>
              <w:rPr>
                <w:sz w:val="20"/>
                <w:szCs w:val="20"/>
                <w:lang w:eastAsia="en-GB"/>
              </w:rPr>
            </w:pPr>
            <w:r w:rsidRPr="00B25DFD">
              <w:rPr>
                <w:sz w:val="20"/>
                <w:szCs w:val="20"/>
                <w:lang w:eastAsia="en-GB"/>
              </w:rPr>
              <w:t>18,240</w:t>
            </w:r>
          </w:p>
        </w:tc>
        <w:tc>
          <w:tcPr>
            <w:tcW w:w="1016" w:type="dxa"/>
            <w:noWrap/>
            <w:hideMark/>
          </w:tcPr>
          <w:p w14:paraId="057C4432" w14:textId="77777777" w:rsidR="00007312" w:rsidRPr="00B25DFD" w:rsidRDefault="00007312" w:rsidP="00B25DFD">
            <w:pPr>
              <w:keepNext/>
              <w:keepLines/>
              <w:jc w:val="right"/>
              <w:rPr>
                <w:sz w:val="20"/>
                <w:szCs w:val="20"/>
                <w:lang w:eastAsia="en-GB"/>
              </w:rPr>
            </w:pPr>
            <w:r w:rsidRPr="00B25DFD">
              <w:rPr>
                <w:sz w:val="20"/>
                <w:szCs w:val="20"/>
                <w:lang w:eastAsia="en-GB"/>
              </w:rPr>
              <w:t>16,867</w:t>
            </w:r>
          </w:p>
        </w:tc>
      </w:tr>
      <w:tr w:rsidR="00007312" w:rsidRPr="00007312" w14:paraId="2046E3A1" w14:textId="77777777" w:rsidTr="00007312">
        <w:trPr>
          <w:trHeight w:val="285"/>
        </w:trPr>
        <w:tc>
          <w:tcPr>
            <w:tcW w:w="3937" w:type="dxa"/>
            <w:noWrap/>
            <w:hideMark/>
          </w:tcPr>
          <w:p w14:paraId="39DCD25F" w14:textId="77777777" w:rsidR="00007312" w:rsidRPr="00B25DFD" w:rsidRDefault="00007312" w:rsidP="00B25DFD">
            <w:pPr>
              <w:keepNext/>
              <w:keepLines/>
              <w:rPr>
                <w:sz w:val="20"/>
                <w:szCs w:val="20"/>
                <w:lang w:eastAsia="en-GB"/>
              </w:rPr>
            </w:pPr>
            <w:r w:rsidRPr="00B25DFD">
              <w:rPr>
                <w:sz w:val="20"/>
                <w:szCs w:val="20"/>
                <w:lang w:eastAsia="en-GB"/>
              </w:rPr>
              <w:t>Public works programme (VPP)</w:t>
            </w:r>
          </w:p>
        </w:tc>
        <w:tc>
          <w:tcPr>
            <w:tcW w:w="1015" w:type="dxa"/>
            <w:noWrap/>
            <w:hideMark/>
          </w:tcPr>
          <w:p w14:paraId="677F575B" w14:textId="77777777" w:rsidR="00007312" w:rsidRPr="00B25DFD" w:rsidRDefault="00007312" w:rsidP="00B25DFD">
            <w:pPr>
              <w:keepNext/>
              <w:keepLines/>
              <w:jc w:val="right"/>
              <w:rPr>
                <w:sz w:val="20"/>
                <w:szCs w:val="20"/>
                <w:lang w:eastAsia="en-GB"/>
              </w:rPr>
            </w:pPr>
            <w:r w:rsidRPr="00B25DFD">
              <w:rPr>
                <w:sz w:val="20"/>
                <w:szCs w:val="20"/>
                <w:lang w:eastAsia="en-GB"/>
              </w:rPr>
              <w:t>6,669</w:t>
            </w:r>
          </w:p>
        </w:tc>
        <w:tc>
          <w:tcPr>
            <w:tcW w:w="1016" w:type="dxa"/>
            <w:noWrap/>
            <w:hideMark/>
          </w:tcPr>
          <w:p w14:paraId="1B473DE4" w14:textId="77777777" w:rsidR="00007312" w:rsidRPr="00B25DFD" w:rsidRDefault="00007312" w:rsidP="00B25DFD">
            <w:pPr>
              <w:keepNext/>
              <w:keepLines/>
              <w:jc w:val="right"/>
              <w:rPr>
                <w:sz w:val="20"/>
                <w:szCs w:val="20"/>
                <w:lang w:eastAsia="en-GB"/>
              </w:rPr>
            </w:pPr>
            <w:r w:rsidRPr="00B25DFD">
              <w:rPr>
                <w:sz w:val="20"/>
                <w:szCs w:val="20"/>
                <w:lang w:eastAsia="en-GB"/>
              </w:rPr>
              <w:t>14,802</w:t>
            </w:r>
          </w:p>
        </w:tc>
        <w:tc>
          <w:tcPr>
            <w:tcW w:w="1016" w:type="dxa"/>
            <w:noWrap/>
            <w:hideMark/>
          </w:tcPr>
          <w:p w14:paraId="171E02A9" w14:textId="77777777" w:rsidR="00007312" w:rsidRPr="00B25DFD" w:rsidRDefault="00007312" w:rsidP="00B25DFD">
            <w:pPr>
              <w:keepNext/>
              <w:keepLines/>
              <w:jc w:val="right"/>
              <w:rPr>
                <w:sz w:val="20"/>
                <w:szCs w:val="20"/>
                <w:lang w:eastAsia="en-GB"/>
              </w:rPr>
            </w:pPr>
            <w:r w:rsidRPr="00B25DFD">
              <w:rPr>
                <w:sz w:val="20"/>
                <w:szCs w:val="20"/>
                <w:lang w:eastAsia="en-GB"/>
              </w:rPr>
              <w:t>16,109</w:t>
            </w:r>
          </w:p>
        </w:tc>
        <w:tc>
          <w:tcPr>
            <w:tcW w:w="1016" w:type="dxa"/>
            <w:noWrap/>
            <w:hideMark/>
          </w:tcPr>
          <w:p w14:paraId="7558D506" w14:textId="77777777" w:rsidR="00007312" w:rsidRPr="00B25DFD" w:rsidRDefault="00007312" w:rsidP="00B25DFD">
            <w:pPr>
              <w:keepNext/>
              <w:keepLines/>
              <w:jc w:val="right"/>
              <w:rPr>
                <w:sz w:val="20"/>
                <w:szCs w:val="20"/>
                <w:lang w:eastAsia="en-GB"/>
              </w:rPr>
            </w:pPr>
            <w:r w:rsidRPr="00B25DFD">
              <w:rPr>
                <w:sz w:val="20"/>
                <w:szCs w:val="20"/>
                <w:lang w:eastAsia="en-GB"/>
              </w:rPr>
              <w:t>18,240</w:t>
            </w:r>
          </w:p>
        </w:tc>
        <w:tc>
          <w:tcPr>
            <w:tcW w:w="1016" w:type="dxa"/>
            <w:noWrap/>
            <w:hideMark/>
          </w:tcPr>
          <w:p w14:paraId="6BF139E4" w14:textId="77777777" w:rsidR="00007312" w:rsidRPr="00B25DFD" w:rsidRDefault="00007312" w:rsidP="00B25DFD">
            <w:pPr>
              <w:keepNext/>
              <w:keepLines/>
              <w:jc w:val="right"/>
              <w:rPr>
                <w:sz w:val="20"/>
                <w:szCs w:val="20"/>
                <w:lang w:eastAsia="en-GB"/>
              </w:rPr>
            </w:pPr>
            <w:r w:rsidRPr="00B25DFD">
              <w:rPr>
                <w:sz w:val="20"/>
                <w:szCs w:val="20"/>
                <w:lang w:eastAsia="en-GB"/>
              </w:rPr>
              <w:t>16,867</w:t>
            </w:r>
          </w:p>
        </w:tc>
      </w:tr>
      <w:tr w:rsidR="00007312" w:rsidRPr="00007312" w14:paraId="3C3482BB" w14:textId="77777777" w:rsidTr="00007312">
        <w:trPr>
          <w:trHeight w:val="285"/>
        </w:trPr>
        <w:tc>
          <w:tcPr>
            <w:tcW w:w="3937" w:type="dxa"/>
            <w:noWrap/>
            <w:hideMark/>
          </w:tcPr>
          <w:p w14:paraId="5A975E72" w14:textId="77777777" w:rsidR="00007312" w:rsidRPr="00B25DFD" w:rsidRDefault="00007312" w:rsidP="00B25DFD">
            <w:pPr>
              <w:keepNext/>
              <w:keepLines/>
              <w:rPr>
                <w:sz w:val="20"/>
                <w:szCs w:val="20"/>
                <w:lang w:eastAsia="en-GB"/>
              </w:rPr>
            </w:pPr>
            <w:r w:rsidRPr="00B25DFD">
              <w:rPr>
                <w:sz w:val="20"/>
                <w:szCs w:val="20"/>
                <w:lang w:eastAsia="en-GB"/>
              </w:rPr>
              <w:t>Start-up incentives</w:t>
            </w:r>
          </w:p>
        </w:tc>
        <w:tc>
          <w:tcPr>
            <w:tcW w:w="1015" w:type="dxa"/>
            <w:noWrap/>
            <w:hideMark/>
          </w:tcPr>
          <w:p w14:paraId="7C0F15C6" w14:textId="77777777" w:rsidR="00007312" w:rsidRPr="00B25DFD" w:rsidRDefault="00007312" w:rsidP="00B25DFD">
            <w:pPr>
              <w:keepNext/>
              <w:keepLines/>
              <w:jc w:val="right"/>
              <w:rPr>
                <w:sz w:val="20"/>
                <w:szCs w:val="20"/>
                <w:lang w:eastAsia="en-GB"/>
              </w:rPr>
            </w:pPr>
            <w:r w:rsidRPr="00B25DFD">
              <w:rPr>
                <w:sz w:val="20"/>
                <w:szCs w:val="20"/>
                <w:lang w:eastAsia="en-GB"/>
              </w:rPr>
              <w:t>3,516</w:t>
            </w:r>
          </w:p>
        </w:tc>
        <w:tc>
          <w:tcPr>
            <w:tcW w:w="1016" w:type="dxa"/>
            <w:noWrap/>
            <w:hideMark/>
          </w:tcPr>
          <w:p w14:paraId="69C34F61" w14:textId="77777777" w:rsidR="00007312" w:rsidRPr="00B25DFD" w:rsidRDefault="00007312" w:rsidP="00B25DFD">
            <w:pPr>
              <w:keepNext/>
              <w:keepLines/>
              <w:jc w:val="right"/>
              <w:rPr>
                <w:sz w:val="20"/>
                <w:szCs w:val="20"/>
                <w:lang w:eastAsia="en-GB"/>
              </w:rPr>
            </w:pPr>
            <w:r w:rsidRPr="00B25DFD">
              <w:rPr>
                <w:sz w:val="20"/>
                <w:szCs w:val="20"/>
                <w:lang w:eastAsia="en-GB"/>
              </w:rPr>
              <w:t>2,828</w:t>
            </w:r>
          </w:p>
        </w:tc>
        <w:tc>
          <w:tcPr>
            <w:tcW w:w="1016" w:type="dxa"/>
            <w:noWrap/>
            <w:hideMark/>
          </w:tcPr>
          <w:p w14:paraId="04C91F39" w14:textId="77777777" w:rsidR="00007312" w:rsidRPr="00B25DFD" w:rsidRDefault="00007312" w:rsidP="00B25DFD">
            <w:pPr>
              <w:keepNext/>
              <w:keepLines/>
              <w:jc w:val="right"/>
              <w:rPr>
                <w:sz w:val="20"/>
                <w:szCs w:val="20"/>
                <w:lang w:eastAsia="en-GB"/>
              </w:rPr>
            </w:pPr>
            <w:r w:rsidRPr="00B25DFD">
              <w:rPr>
                <w:sz w:val="20"/>
                <w:szCs w:val="20"/>
                <w:lang w:eastAsia="en-GB"/>
              </w:rPr>
              <w:t>3,211</w:t>
            </w:r>
          </w:p>
        </w:tc>
        <w:tc>
          <w:tcPr>
            <w:tcW w:w="1016" w:type="dxa"/>
            <w:noWrap/>
            <w:hideMark/>
          </w:tcPr>
          <w:p w14:paraId="32BF7F29" w14:textId="77777777" w:rsidR="00007312" w:rsidRPr="00B25DFD" w:rsidRDefault="00007312" w:rsidP="00B25DFD">
            <w:pPr>
              <w:keepNext/>
              <w:keepLines/>
              <w:jc w:val="right"/>
              <w:rPr>
                <w:sz w:val="20"/>
                <w:szCs w:val="20"/>
                <w:lang w:eastAsia="en-GB"/>
              </w:rPr>
            </w:pPr>
            <w:r w:rsidRPr="00B25DFD">
              <w:rPr>
                <w:sz w:val="20"/>
                <w:szCs w:val="20"/>
                <w:lang w:eastAsia="en-GB"/>
              </w:rPr>
              <w:t>3,181</w:t>
            </w:r>
          </w:p>
        </w:tc>
        <w:tc>
          <w:tcPr>
            <w:tcW w:w="1016" w:type="dxa"/>
            <w:noWrap/>
            <w:hideMark/>
          </w:tcPr>
          <w:p w14:paraId="777E1D3C" w14:textId="77777777" w:rsidR="00007312" w:rsidRPr="00B25DFD" w:rsidRDefault="00007312" w:rsidP="00B25DFD">
            <w:pPr>
              <w:keepNext/>
              <w:keepLines/>
              <w:jc w:val="right"/>
              <w:rPr>
                <w:sz w:val="20"/>
                <w:szCs w:val="20"/>
                <w:lang w:eastAsia="en-GB"/>
              </w:rPr>
            </w:pPr>
            <w:r w:rsidRPr="00B25DFD">
              <w:rPr>
                <w:sz w:val="20"/>
                <w:szCs w:val="20"/>
                <w:lang w:eastAsia="en-GB"/>
              </w:rPr>
              <w:t>2,806</w:t>
            </w:r>
          </w:p>
        </w:tc>
      </w:tr>
      <w:tr w:rsidR="00007312" w:rsidRPr="00007312" w14:paraId="3F944019" w14:textId="77777777" w:rsidTr="00007312">
        <w:trPr>
          <w:trHeight w:val="285"/>
        </w:trPr>
        <w:tc>
          <w:tcPr>
            <w:tcW w:w="3937" w:type="dxa"/>
            <w:noWrap/>
            <w:hideMark/>
          </w:tcPr>
          <w:p w14:paraId="45880431" w14:textId="77777777" w:rsidR="00007312" w:rsidRPr="00B25DFD" w:rsidRDefault="00007312" w:rsidP="00B25DFD">
            <w:pPr>
              <w:keepNext/>
              <w:keepLines/>
              <w:rPr>
                <w:sz w:val="20"/>
                <w:szCs w:val="20"/>
                <w:lang w:eastAsia="en-GB"/>
              </w:rPr>
            </w:pPr>
            <w:r w:rsidRPr="00B25DFD">
              <w:rPr>
                <w:sz w:val="20"/>
                <w:szCs w:val="20"/>
                <w:lang w:eastAsia="en-GB"/>
              </w:rPr>
              <w:t>Contribution to registered unemployed with working limitations for working equipment when starting self-employment</w:t>
            </w:r>
          </w:p>
        </w:tc>
        <w:tc>
          <w:tcPr>
            <w:tcW w:w="1015" w:type="dxa"/>
            <w:noWrap/>
            <w:hideMark/>
          </w:tcPr>
          <w:p w14:paraId="0E15B7DA" w14:textId="77777777" w:rsidR="00007312" w:rsidRPr="00B25DFD" w:rsidRDefault="00007312" w:rsidP="00B25DFD">
            <w:pPr>
              <w:keepNext/>
              <w:keepLines/>
              <w:jc w:val="right"/>
              <w:rPr>
                <w:sz w:val="20"/>
                <w:szCs w:val="20"/>
                <w:lang w:eastAsia="en-GB"/>
              </w:rPr>
            </w:pPr>
            <w:r w:rsidRPr="00B25DFD">
              <w:rPr>
                <w:sz w:val="20"/>
                <w:szCs w:val="20"/>
                <w:lang w:eastAsia="en-GB"/>
              </w:rPr>
              <w:t>79</w:t>
            </w:r>
          </w:p>
        </w:tc>
        <w:tc>
          <w:tcPr>
            <w:tcW w:w="1016" w:type="dxa"/>
            <w:noWrap/>
            <w:hideMark/>
          </w:tcPr>
          <w:p w14:paraId="723AD6D2" w14:textId="77777777" w:rsidR="00007312" w:rsidRPr="00B25DFD" w:rsidRDefault="00007312" w:rsidP="00B25DFD">
            <w:pPr>
              <w:keepNext/>
              <w:keepLines/>
              <w:jc w:val="right"/>
              <w:rPr>
                <w:sz w:val="20"/>
                <w:szCs w:val="20"/>
                <w:lang w:eastAsia="en-GB"/>
              </w:rPr>
            </w:pPr>
            <w:r w:rsidRPr="00B25DFD">
              <w:rPr>
                <w:sz w:val="20"/>
                <w:szCs w:val="20"/>
                <w:lang w:eastAsia="en-GB"/>
              </w:rPr>
              <w:t>56</w:t>
            </w:r>
          </w:p>
        </w:tc>
        <w:tc>
          <w:tcPr>
            <w:tcW w:w="1016" w:type="dxa"/>
            <w:noWrap/>
            <w:hideMark/>
          </w:tcPr>
          <w:p w14:paraId="56503212" w14:textId="77777777" w:rsidR="00007312" w:rsidRPr="00B25DFD" w:rsidRDefault="00007312" w:rsidP="00B25DFD">
            <w:pPr>
              <w:keepNext/>
              <w:keepLines/>
              <w:jc w:val="right"/>
              <w:rPr>
                <w:sz w:val="20"/>
                <w:szCs w:val="20"/>
                <w:lang w:eastAsia="en-GB"/>
              </w:rPr>
            </w:pPr>
            <w:r w:rsidRPr="00B25DFD">
              <w:rPr>
                <w:sz w:val="20"/>
                <w:szCs w:val="20"/>
                <w:lang w:eastAsia="en-GB"/>
              </w:rPr>
              <w:t>55</w:t>
            </w:r>
          </w:p>
        </w:tc>
        <w:tc>
          <w:tcPr>
            <w:tcW w:w="1016" w:type="dxa"/>
            <w:noWrap/>
            <w:hideMark/>
          </w:tcPr>
          <w:p w14:paraId="5D9DB913" w14:textId="77777777" w:rsidR="00007312" w:rsidRPr="00B25DFD" w:rsidRDefault="00007312" w:rsidP="00B25DFD">
            <w:pPr>
              <w:keepNext/>
              <w:keepLines/>
              <w:jc w:val="right"/>
              <w:rPr>
                <w:sz w:val="20"/>
                <w:szCs w:val="20"/>
                <w:lang w:eastAsia="en-GB"/>
              </w:rPr>
            </w:pPr>
            <w:r w:rsidRPr="00B25DFD">
              <w:rPr>
                <w:sz w:val="20"/>
                <w:szCs w:val="20"/>
                <w:lang w:eastAsia="en-GB"/>
              </w:rPr>
              <w:t>45</w:t>
            </w:r>
          </w:p>
        </w:tc>
        <w:tc>
          <w:tcPr>
            <w:tcW w:w="1016" w:type="dxa"/>
            <w:noWrap/>
            <w:hideMark/>
          </w:tcPr>
          <w:p w14:paraId="06D1F442" w14:textId="77777777" w:rsidR="00007312" w:rsidRPr="00B25DFD" w:rsidRDefault="00007312" w:rsidP="00B25DFD">
            <w:pPr>
              <w:keepNext/>
              <w:keepLines/>
              <w:jc w:val="right"/>
              <w:rPr>
                <w:sz w:val="20"/>
                <w:szCs w:val="20"/>
                <w:lang w:eastAsia="en-GB"/>
              </w:rPr>
            </w:pPr>
            <w:r w:rsidRPr="00B25DFD">
              <w:rPr>
                <w:sz w:val="20"/>
                <w:szCs w:val="20"/>
                <w:lang w:eastAsia="en-GB"/>
              </w:rPr>
              <w:t>48</w:t>
            </w:r>
          </w:p>
        </w:tc>
      </w:tr>
      <w:tr w:rsidR="00007312" w:rsidRPr="00007312" w14:paraId="4B3DBB3A" w14:textId="77777777" w:rsidTr="00007312">
        <w:trPr>
          <w:trHeight w:val="285"/>
        </w:trPr>
        <w:tc>
          <w:tcPr>
            <w:tcW w:w="3937" w:type="dxa"/>
            <w:noWrap/>
            <w:hideMark/>
          </w:tcPr>
          <w:p w14:paraId="356BDACC" w14:textId="216A3E9E" w:rsidR="00007312" w:rsidRPr="00B25DFD" w:rsidRDefault="00FD5457" w:rsidP="00B25DFD">
            <w:pPr>
              <w:keepNext/>
              <w:keepLines/>
              <w:rPr>
                <w:sz w:val="20"/>
                <w:szCs w:val="20"/>
                <w:lang w:eastAsia="en-GB"/>
              </w:rPr>
            </w:pPr>
            <w:r w:rsidRPr="00B25DFD">
              <w:rPr>
                <w:sz w:val="20"/>
                <w:szCs w:val="20"/>
                <w:lang w:eastAsia="en-GB"/>
              </w:rPr>
              <w:t>Self-employment</w:t>
            </w:r>
            <w:r w:rsidR="00007312" w:rsidRPr="00B25DFD">
              <w:rPr>
                <w:sz w:val="20"/>
                <w:szCs w:val="20"/>
                <w:lang w:eastAsia="en-GB"/>
              </w:rPr>
              <w:t xml:space="preserve"> - publicly beneficial working places (SVC SUPM)</w:t>
            </w:r>
          </w:p>
        </w:tc>
        <w:tc>
          <w:tcPr>
            <w:tcW w:w="1015" w:type="dxa"/>
            <w:noWrap/>
            <w:hideMark/>
          </w:tcPr>
          <w:p w14:paraId="05B5842D" w14:textId="77777777" w:rsidR="00007312" w:rsidRPr="00B25DFD" w:rsidRDefault="00007312" w:rsidP="00B25DFD">
            <w:pPr>
              <w:keepNext/>
              <w:keepLines/>
              <w:jc w:val="right"/>
              <w:rPr>
                <w:sz w:val="20"/>
                <w:szCs w:val="20"/>
                <w:lang w:eastAsia="en-GB"/>
              </w:rPr>
            </w:pPr>
            <w:r w:rsidRPr="00B25DFD">
              <w:rPr>
                <w:sz w:val="20"/>
                <w:szCs w:val="20"/>
                <w:lang w:eastAsia="en-GB"/>
              </w:rPr>
              <w:t>3,379</w:t>
            </w:r>
          </w:p>
        </w:tc>
        <w:tc>
          <w:tcPr>
            <w:tcW w:w="1016" w:type="dxa"/>
            <w:noWrap/>
            <w:hideMark/>
          </w:tcPr>
          <w:p w14:paraId="1F9C7171" w14:textId="77777777" w:rsidR="00007312" w:rsidRPr="00B25DFD" w:rsidRDefault="00007312" w:rsidP="00B25DFD">
            <w:pPr>
              <w:keepNext/>
              <w:keepLines/>
              <w:jc w:val="right"/>
              <w:rPr>
                <w:sz w:val="20"/>
                <w:szCs w:val="20"/>
                <w:lang w:eastAsia="en-GB"/>
              </w:rPr>
            </w:pPr>
            <w:r w:rsidRPr="00B25DFD">
              <w:rPr>
                <w:sz w:val="20"/>
                <w:szCs w:val="20"/>
                <w:lang w:eastAsia="en-GB"/>
              </w:rPr>
              <w:t>2,659</w:t>
            </w:r>
          </w:p>
        </w:tc>
        <w:tc>
          <w:tcPr>
            <w:tcW w:w="1016" w:type="dxa"/>
            <w:noWrap/>
            <w:hideMark/>
          </w:tcPr>
          <w:p w14:paraId="4FB8AD47" w14:textId="77777777" w:rsidR="00007312" w:rsidRPr="00B25DFD" w:rsidRDefault="00007312" w:rsidP="00B25DFD">
            <w:pPr>
              <w:keepNext/>
              <w:keepLines/>
              <w:jc w:val="right"/>
              <w:rPr>
                <w:sz w:val="20"/>
                <w:szCs w:val="20"/>
                <w:lang w:eastAsia="en-GB"/>
              </w:rPr>
            </w:pPr>
            <w:r w:rsidRPr="00B25DFD">
              <w:rPr>
                <w:sz w:val="20"/>
                <w:szCs w:val="20"/>
                <w:lang w:eastAsia="en-GB"/>
              </w:rPr>
              <w:t>2,999</w:t>
            </w:r>
          </w:p>
        </w:tc>
        <w:tc>
          <w:tcPr>
            <w:tcW w:w="1016" w:type="dxa"/>
            <w:noWrap/>
            <w:hideMark/>
          </w:tcPr>
          <w:p w14:paraId="7ADC6397" w14:textId="77777777" w:rsidR="00007312" w:rsidRPr="00B25DFD" w:rsidRDefault="00007312" w:rsidP="00B25DFD">
            <w:pPr>
              <w:keepNext/>
              <w:keepLines/>
              <w:jc w:val="right"/>
              <w:rPr>
                <w:sz w:val="20"/>
                <w:szCs w:val="20"/>
                <w:lang w:eastAsia="en-GB"/>
              </w:rPr>
            </w:pPr>
            <w:r w:rsidRPr="00B25DFD">
              <w:rPr>
                <w:sz w:val="20"/>
                <w:szCs w:val="20"/>
                <w:lang w:eastAsia="en-GB"/>
              </w:rPr>
              <w:t>3,011</w:t>
            </w:r>
          </w:p>
        </w:tc>
        <w:tc>
          <w:tcPr>
            <w:tcW w:w="1016" w:type="dxa"/>
            <w:noWrap/>
            <w:hideMark/>
          </w:tcPr>
          <w:p w14:paraId="73E5A026" w14:textId="77777777" w:rsidR="00007312" w:rsidRPr="00B25DFD" w:rsidRDefault="00007312" w:rsidP="00B25DFD">
            <w:pPr>
              <w:keepNext/>
              <w:keepLines/>
              <w:jc w:val="right"/>
              <w:rPr>
                <w:sz w:val="20"/>
                <w:szCs w:val="20"/>
                <w:lang w:eastAsia="en-GB"/>
              </w:rPr>
            </w:pPr>
            <w:r w:rsidRPr="00B25DFD">
              <w:rPr>
                <w:sz w:val="20"/>
                <w:szCs w:val="20"/>
                <w:lang w:eastAsia="en-GB"/>
              </w:rPr>
              <w:t>2,668</w:t>
            </w:r>
          </w:p>
        </w:tc>
      </w:tr>
      <w:tr w:rsidR="00007312" w:rsidRPr="00007312" w14:paraId="4548841B" w14:textId="77777777" w:rsidTr="00007312">
        <w:trPr>
          <w:trHeight w:val="285"/>
        </w:trPr>
        <w:tc>
          <w:tcPr>
            <w:tcW w:w="3937" w:type="dxa"/>
            <w:noWrap/>
            <w:hideMark/>
          </w:tcPr>
          <w:p w14:paraId="1A448FCB" w14:textId="77777777" w:rsidR="00007312" w:rsidRPr="00B25DFD" w:rsidRDefault="00007312" w:rsidP="00B25DFD">
            <w:pPr>
              <w:keepNext/>
              <w:keepLines/>
              <w:rPr>
                <w:sz w:val="20"/>
                <w:szCs w:val="20"/>
                <w:lang w:eastAsia="en-GB"/>
              </w:rPr>
            </w:pPr>
            <w:r w:rsidRPr="00B25DFD">
              <w:rPr>
                <w:sz w:val="20"/>
                <w:szCs w:val="20"/>
                <w:lang w:eastAsia="en-GB"/>
              </w:rPr>
              <w:t>Bridging contribution</w:t>
            </w:r>
          </w:p>
        </w:tc>
        <w:tc>
          <w:tcPr>
            <w:tcW w:w="1015" w:type="dxa"/>
            <w:noWrap/>
            <w:hideMark/>
          </w:tcPr>
          <w:p w14:paraId="534D0B8D" w14:textId="77777777" w:rsidR="00007312" w:rsidRPr="00B25DFD" w:rsidRDefault="00007312" w:rsidP="00B25DFD">
            <w:pPr>
              <w:keepNext/>
              <w:keepLines/>
              <w:jc w:val="right"/>
              <w:rPr>
                <w:sz w:val="20"/>
                <w:szCs w:val="20"/>
                <w:lang w:eastAsia="en-GB"/>
              </w:rPr>
            </w:pPr>
            <w:r w:rsidRPr="00B25DFD">
              <w:rPr>
                <w:sz w:val="20"/>
                <w:szCs w:val="20"/>
                <w:lang w:eastAsia="en-GB"/>
              </w:rPr>
              <w:t>58</w:t>
            </w:r>
          </w:p>
        </w:tc>
        <w:tc>
          <w:tcPr>
            <w:tcW w:w="1016" w:type="dxa"/>
            <w:noWrap/>
            <w:hideMark/>
          </w:tcPr>
          <w:p w14:paraId="4DC111E3" w14:textId="77777777" w:rsidR="00007312" w:rsidRPr="00B25DFD" w:rsidRDefault="00007312" w:rsidP="00B25DFD">
            <w:pPr>
              <w:keepNext/>
              <w:keepLines/>
              <w:jc w:val="right"/>
              <w:rPr>
                <w:sz w:val="20"/>
                <w:szCs w:val="20"/>
                <w:lang w:eastAsia="en-GB"/>
              </w:rPr>
            </w:pPr>
            <w:r w:rsidRPr="00B25DFD">
              <w:rPr>
                <w:sz w:val="20"/>
                <w:szCs w:val="20"/>
                <w:lang w:eastAsia="en-GB"/>
              </w:rPr>
              <w:t>113</w:t>
            </w:r>
          </w:p>
        </w:tc>
        <w:tc>
          <w:tcPr>
            <w:tcW w:w="1016" w:type="dxa"/>
            <w:noWrap/>
            <w:hideMark/>
          </w:tcPr>
          <w:p w14:paraId="02D8205D" w14:textId="77777777" w:rsidR="00007312" w:rsidRPr="00B25DFD" w:rsidRDefault="00007312" w:rsidP="00B25DFD">
            <w:pPr>
              <w:keepNext/>
              <w:keepLines/>
              <w:jc w:val="right"/>
              <w:rPr>
                <w:sz w:val="20"/>
                <w:szCs w:val="20"/>
                <w:lang w:eastAsia="en-GB"/>
              </w:rPr>
            </w:pPr>
            <w:r w:rsidRPr="00B25DFD">
              <w:rPr>
                <w:sz w:val="20"/>
                <w:szCs w:val="20"/>
                <w:lang w:eastAsia="en-GB"/>
              </w:rPr>
              <w:t>157</w:t>
            </w:r>
          </w:p>
        </w:tc>
        <w:tc>
          <w:tcPr>
            <w:tcW w:w="1016" w:type="dxa"/>
            <w:noWrap/>
            <w:hideMark/>
          </w:tcPr>
          <w:p w14:paraId="385E3CAB" w14:textId="77777777" w:rsidR="00007312" w:rsidRPr="00B25DFD" w:rsidRDefault="00007312" w:rsidP="00B25DFD">
            <w:pPr>
              <w:keepNext/>
              <w:keepLines/>
              <w:jc w:val="right"/>
              <w:rPr>
                <w:sz w:val="20"/>
                <w:szCs w:val="20"/>
                <w:lang w:eastAsia="en-GB"/>
              </w:rPr>
            </w:pPr>
            <w:r w:rsidRPr="00B25DFD">
              <w:rPr>
                <w:sz w:val="20"/>
                <w:szCs w:val="20"/>
                <w:lang w:eastAsia="en-GB"/>
              </w:rPr>
              <w:t>125</w:t>
            </w:r>
          </w:p>
        </w:tc>
        <w:tc>
          <w:tcPr>
            <w:tcW w:w="1016" w:type="dxa"/>
            <w:noWrap/>
            <w:hideMark/>
          </w:tcPr>
          <w:p w14:paraId="124A3E66" w14:textId="77777777" w:rsidR="00007312" w:rsidRPr="00B25DFD" w:rsidRDefault="00007312" w:rsidP="00B25DFD">
            <w:pPr>
              <w:keepNext/>
              <w:keepLines/>
              <w:jc w:val="right"/>
              <w:rPr>
                <w:sz w:val="20"/>
                <w:szCs w:val="20"/>
                <w:lang w:eastAsia="en-GB"/>
              </w:rPr>
            </w:pPr>
            <w:r w:rsidRPr="00B25DFD">
              <w:rPr>
                <w:sz w:val="20"/>
                <w:szCs w:val="20"/>
                <w:lang w:eastAsia="en-GB"/>
              </w:rPr>
              <w:t>90</w:t>
            </w:r>
          </w:p>
        </w:tc>
      </w:tr>
      <w:tr w:rsidR="00007312" w:rsidRPr="00007312" w14:paraId="1D740A19" w14:textId="77777777" w:rsidTr="00007312">
        <w:trPr>
          <w:trHeight w:val="285"/>
        </w:trPr>
        <w:tc>
          <w:tcPr>
            <w:tcW w:w="3937" w:type="dxa"/>
            <w:noWrap/>
            <w:hideMark/>
          </w:tcPr>
          <w:p w14:paraId="0A00CA5E" w14:textId="77777777" w:rsidR="00007312" w:rsidRPr="00B25DFD" w:rsidRDefault="00007312" w:rsidP="00B25DFD">
            <w:pPr>
              <w:keepNext/>
              <w:keepLines/>
              <w:rPr>
                <w:sz w:val="20"/>
                <w:szCs w:val="20"/>
                <w:lang w:eastAsia="en-GB"/>
              </w:rPr>
            </w:pPr>
            <w:r w:rsidRPr="00B25DFD">
              <w:rPr>
                <w:sz w:val="20"/>
                <w:szCs w:val="20"/>
                <w:lang w:eastAsia="en-GB"/>
              </w:rPr>
              <w:t>Out-of-work income maintenance and support</w:t>
            </w:r>
          </w:p>
        </w:tc>
        <w:tc>
          <w:tcPr>
            <w:tcW w:w="1015" w:type="dxa"/>
            <w:noWrap/>
            <w:hideMark/>
          </w:tcPr>
          <w:p w14:paraId="5B60215C" w14:textId="77777777" w:rsidR="00007312" w:rsidRPr="00B25DFD" w:rsidRDefault="00007312" w:rsidP="00B25DFD">
            <w:pPr>
              <w:keepNext/>
              <w:keepLines/>
              <w:jc w:val="right"/>
              <w:rPr>
                <w:sz w:val="20"/>
                <w:szCs w:val="20"/>
                <w:lang w:eastAsia="en-GB"/>
              </w:rPr>
            </w:pPr>
            <w:r w:rsidRPr="00B25DFD">
              <w:rPr>
                <w:sz w:val="20"/>
                <w:szCs w:val="20"/>
                <w:lang w:eastAsia="en-GB"/>
              </w:rPr>
              <w:t>104,472</w:t>
            </w:r>
          </w:p>
        </w:tc>
        <w:tc>
          <w:tcPr>
            <w:tcW w:w="1016" w:type="dxa"/>
            <w:noWrap/>
            <w:hideMark/>
          </w:tcPr>
          <w:p w14:paraId="11EC9C85" w14:textId="77777777" w:rsidR="00007312" w:rsidRPr="00B25DFD" w:rsidRDefault="00007312" w:rsidP="00B25DFD">
            <w:pPr>
              <w:keepNext/>
              <w:keepLines/>
              <w:jc w:val="right"/>
              <w:rPr>
                <w:sz w:val="20"/>
                <w:szCs w:val="20"/>
                <w:lang w:eastAsia="en-GB"/>
              </w:rPr>
            </w:pPr>
            <w:r w:rsidRPr="00B25DFD">
              <w:rPr>
                <w:sz w:val="20"/>
                <w:szCs w:val="20"/>
                <w:lang w:eastAsia="en-GB"/>
              </w:rPr>
              <w:t>117,946</w:t>
            </w:r>
          </w:p>
        </w:tc>
        <w:tc>
          <w:tcPr>
            <w:tcW w:w="1016" w:type="dxa"/>
            <w:noWrap/>
            <w:hideMark/>
          </w:tcPr>
          <w:p w14:paraId="3D3D427A" w14:textId="77777777" w:rsidR="00007312" w:rsidRPr="00B25DFD" w:rsidRDefault="00007312" w:rsidP="00B25DFD">
            <w:pPr>
              <w:keepNext/>
              <w:keepLines/>
              <w:jc w:val="right"/>
              <w:rPr>
                <w:sz w:val="20"/>
                <w:szCs w:val="20"/>
                <w:lang w:eastAsia="en-GB"/>
              </w:rPr>
            </w:pPr>
            <w:r w:rsidRPr="00B25DFD">
              <w:rPr>
                <w:sz w:val="20"/>
                <w:szCs w:val="20"/>
                <w:lang w:eastAsia="en-GB"/>
              </w:rPr>
              <w:t>115,908</w:t>
            </w:r>
          </w:p>
        </w:tc>
        <w:tc>
          <w:tcPr>
            <w:tcW w:w="1016" w:type="dxa"/>
            <w:noWrap/>
            <w:hideMark/>
          </w:tcPr>
          <w:p w14:paraId="722C29F2" w14:textId="77777777" w:rsidR="00007312" w:rsidRPr="00B25DFD" w:rsidRDefault="00007312" w:rsidP="00B25DFD">
            <w:pPr>
              <w:keepNext/>
              <w:keepLines/>
              <w:jc w:val="right"/>
              <w:rPr>
                <w:sz w:val="20"/>
                <w:szCs w:val="20"/>
                <w:lang w:eastAsia="en-GB"/>
              </w:rPr>
            </w:pPr>
            <w:r w:rsidRPr="00B25DFD">
              <w:rPr>
                <w:sz w:val="20"/>
                <w:szCs w:val="20"/>
                <w:lang w:eastAsia="en-GB"/>
              </w:rPr>
              <w:t>101,789</w:t>
            </w:r>
          </w:p>
        </w:tc>
        <w:tc>
          <w:tcPr>
            <w:tcW w:w="1016" w:type="dxa"/>
            <w:noWrap/>
            <w:hideMark/>
          </w:tcPr>
          <w:p w14:paraId="23520AC6" w14:textId="77777777" w:rsidR="00007312" w:rsidRPr="00B25DFD" w:rsidRDefault="00007312" w:rsidP="00B25DFD">
            <w:pPr>
              <w:keepNext/>
              <w:keepLines/>
              <w:jc w:val="right"/>
              <w:rPr>
                <w:sz w:val="20"/>
                <w:szCs w:val="20"/>
                <w:lang w:eastAsia="en-GB"/>
              </w:rPr>
            </w:pPr>
            <w:r w:rsidRPr="00B25DFD">
              <w:rPr>
                <w:sz w:val="20"/>
                <w:szCs w:val="20"/>
                <w:lang w:eastAsia="en-GB"/>
              </w:rPr>
              <w:t>97,870</w:t>
            </w:r>
          </w:p>
        </w:tc>
      </w:tr>
    </w:tbl>
    <w:p w14:paraId="7BA13DFA" w14:textId="5BF59844" w:rsidR="00007312" w:rsidRPr="000E3D00" w:rsidRDefault="00007312" w:rsidP="00B25DFD">
      <w:pPr>
        <w:keepNext/>
        <w:keepLines/>
        <w:rPr>
          <w:szCs w:val="20"/>
          <w:lang w:eastAsia="en-GB"/>
        </w:rPr>
      </w:pPr>
      <w:r w:rsidRPr="00B25DFD">
        <w:rPr>
          <w:i/>
          <w:sz w:val="20"/>
          <w:szCs w:val="20"/>
          <w:lang w:eastAsia="en-GB"/>
        </w:rPr>
        <w:t xml:space="preserve">Source: DG EMPL </w:t>
      </w:r>
      <w:proofErr w:type="spellStart"/>
      <w:r w:rsidRPr="00B25DFD">
        <w:rPr>
          <w:i/>
          <w:sz w:val="20"/>
          <w:szCs w:val="20"/>
          <w:lang w:eastAsia="en-GB"/>
        </w:rPr>
        <w:t>lmp_partme_cz</w:t>
      </w:r>
      <w:proofErr w:type="spellEnd"/>
    </w:p>
    <w:p w14:paraId="748F17BE" w14:textId="4C76E9CE" w:rsidR="00CF254F" w:rsidRPr="00FD5457" w:rsidRDefault="00CF254F" w:rsidP="00FD5457"/>
    <w:p w14:paraId="79E35AAA" w14:textId="637350EF" w:rsidR="000E59E4" w:rsidRDefault="00DE4BC5" w:rsidP="00875F7E">
      <w:pPr>
        <w:pStyle w:val="Heading2"/>
      </w:pPr>
      <w:bookmarkStart w:id="24" w:name="_Toc528662158"/>
      <w:r>
        <w:t>Disability and e</w:t>
      </w:r>
      <w:r w:rsidR="00BF6032">
        <w:t>ducation</w:t>
      </w:r>
      <w:r w:rsidR="00574AF4">
        <w:t>al attainment</w:t>
      </w:r>
      <w:r w:rsidR="00D939BF">
        <w:t xml:space="preserve"> data</w:t>
      </w:r>
      <w:r w:rsidR="001F6793">
        <w:t xml:space="preserve"> from EU-SILC</w:t>
      </w:r>
      <w:bookmarkEnd w:id="24"/>
    </w:p>
    <w:p w14:paraId="550D1E20" w14:textId="77777777" w:rsidR="00F01BC2" w:rsidRDefault="00F01BC2" w:rsidP="00FD5457">
      <w:pPr>
        <w:pStyle w:val="BodyText"/>
        <w:spacing w:after="0"/>
        <w:jc w:val="both"/>
      </w:pPr>
    </w:p>
    <w:p w14:paraId="07EC2683" w14:textId="6DD4150E" w:rsidR="002F4E40" w:rsidRDefault="002F4E40" w:rsidP="00FD5457">
      <w:pPr>
        <w:pStyle w:val="BodyText"/>
        <w:spacing w:after="0"/>
        <w:jc w:val="both"/>
      </w:pPr>
      <w:r>
        <w:t>National comparisons are more limited in the EU2020 target age groups (a wider range improves reliability</w:t>
      </w:r>
      <w:r w:rsidR="00FD5457">
        <w:t>,</w:t>
      </w:r>
      <w:r w:rsidRPr="00CA22BF">
        <w:t xml:space="preserve"> </w:t>
      </w:r>
      <w:r>
        <w:t>but gender breakdowns are not reliable). The EU level indicator is reliable but there is low reliability at the national level in individual years. This applies to CZ in 2016, then there were fewer than 50 observations in the disability group age 18-24. The following tables show an average of the three most recent years (2014-2016).</w:t>
      </w:r>
    </w:p>
    <w:p w14:paraId="06394D37" w14:textId="61927D4A" w:rsidR="002F4E40" w:rsidRDefault="00D939BF" w:rsidP="00875F7E">
      <w:bookmarkStart w:id="25" w:name="_Ref525656187"/>
      <w:r w:rsidRPr="00FD5457">
        <w:rPr>
          <w:b/>
          <w:sz w:val="20"/>
          <w:szCs w:val="20"/>
        </w:rPr>
        <w:lastRenderedPageBreak/>
        <w:t xml:space="preserve">Table </w:t>
      </w:r>
      <w:r w:rsidR="00F01BC2" w:rsidRPr="00FD5457">
        <w:rPr>
          <w:b/>
          <w:noProof/>
          <w:sz w:val="20"/>
          <w:szCs w:val="20"/>
        </w:rPr>
        <w:fldChar w:fldCharType="begin"/>
      </w:r>
      <w:r w:rsidR="00F01BC2" w:rsidRPr="00FD5457">
        <w:rPr>
          <w:b/>
          <w:noProof/>
          <w:sz w:val="20"/>
          <w:szCs w:val="20"/>
        </w:rPr>
        <w:instrText xml:space="preserve"> SEQ Table \* ARABIC </w:instrText>
      </w:r>
      <w:r w:rsidR="00F01BC2" w:rsidRPr="00FD5457">
        <w:rPr>
          <w:b/>
          <w:noProof/>
          <w:sz w:val="20"/>
          <w:szCs w:val="20"/>
        </w:rPr>
        <w:fldChar w:fldCharType="separate"/>
      </w:r>
      <w:r w:rsidR="00B25DFD" w:rsidRPr="00FD5457">
        <w:rPr>
          <w:b/>
          <w:noProof/>
          <w:sz w:val="20"/>
          <w:szCs w:val="20"/>
        </w:rPr>
        <w:t>13</w:t>
      </w:r>
      <w:r w:rsidR="00F01BC2" w:rsidRPr="00FD5457">
        <w:rPr>
          <w:b/>
          <w:noProof/>
          <w:sz w:val="20"/>
          <w:szCs w:val="20"/>
        </w:rPr>
        <w:fldChar w:fldCharType="end"/>
      </w:r>
      <w:bookmarkEnd w:id="25"/>
      <w:r w:rsidRPr="00FD5457">
        <w:rPr>
          <w:b/>
          <w:sz w:val="20"/>
          <w:szCs w:val="20"/>
        </w:rPr>
        <w:t xml:space="preserve">: </w:t>
      </w:r>
      <w:r w:rsidR="002F4E40" w:rsidRPr="00FD5457">
        <w:rPr>
          <w:b/>
          <w:sz w:val="20"/>
          <w:szCs w:val="20"/>
        </w:rPr>
        <w:t>Three-year average e</w:t>
      </w:r>
      <w:r w:rsidR="002F4E40" w:rsidRPr="00FD5457">
        <w:rPr>
          <w:b/>
          <w:noProof/>
          <w:sz w:val="20"/>
          <w:szCs w:val="20"/>
        </w:rPr>
        <w:t>arly leaving rates, by disability status (aged 18-24 and 18-29)</w:t>
      </w:r>
      <w:r w:rsidR="002F4E40">
        <w:rPr>
          <w:rStyle w:val="FootnoteReference"/>
        </w:rPr>
        <w:footnoteReference w:id="57"/>
      </w:r>
      <w:r w:rsidR="002F4E40">
        <w:rPr>
          <w:noProof/>
          <w:lang w:eastAsia="zh-CN"/>
        </w:rPr>
        <w:drawing>
          <wp:inline distT="0" distB="0" distL="0" distR="0" wp14:anchorId="5F53E908" wp14:editId="311FCA23">
            <wp:extent cx="5486400" cy="1611517"/>
            <wp:effectExtent l="0" t="0" r="19050" b="273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7753D2" w14:textId="77777777" w:rsidR="002F4E40" w:rsidRDefault="002F4E40" w:rsidP="00875F7E"/>
    <w:p w14:paraId="0A0B4BFF" w14:textId="156826AE" w:rsidR="002F4E40" w:rsidRDefault="00EA166E" w:rsidP="00875F7E">
      <w:pPr>
        <w:pStyle w:val="Caption"/>
      </w:pPr>
      <w:bookmarkStart w:id="26" w:name="_Ref525656294"/>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14</w:t>
      </w:r>
      <w:r w:rsidR="00F01BC2">
        <w:rPr>
          <w:noProof/>
        </w:rPr>
        <w:fldChar w:fldCharType="end"/>
      </w:r>
      <w:bookmarkEnd w:id="26"/>
      <w:r>
        <w:t xml:space="preserve">: </w:t>
      </w:r>
      <w:r w:rsidR="002F4E40">
        <w:t xml:space="preserve">Three-year average </w:t>
      </w:r>
      <w:r w:rsidR="002F4E40">
        <w:rPr>
          <w:noProof/>
        </w:rPr>
        <w:t>tertiary or equivalent education rate (age 30-34 and 30-39)</w:t>
      </w:r>
      <w:r w:rsidR="002F4E40">
        <w:rPr>
          <w:noProof/>
          <w:lang w:eastAsia="zh-CN"/>
        </w:rPr>
        <w:drawing>
          <wp:inline distT="0" distB="0" distL="0" distR="0" wp14:anchorId="371C2B24" wp14:editId="4EAFE542">
            <wp:extent cx="5486400" cy="1674891"/>
            <wp:effectExtent l="0" t="0" r="19050"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6F18ED" w14:textId="77777777" w:rsidR="002F4E40" w:rsidRDefault="002F4E40" w:rsidP="0030171B">
      <w:pPr>
        <w:pStyle w:val="Sourcereference"/>
        <w:rPr>
          <w:lang w:eastAsia="en-GB"/>
        </w:rPr>
      </w:pPr>
      <w:r w:rsidRPr="00E024C9">
        <w:t xml:space="preserve">Source: </w:t>
      </w:r>
      <w:r>
        <w:rPr>
          <w:lang w:eastAsia="en-GB"/>
        </w:rPr>
        <w:t>EU-SILC UDB 2016 – version of March 2018</w:t>
      </w:r>
      <w:r w:rsidRPr="00E024C9">
        <w:rPr>
          <w:lang w:eastAsia="en-GB"/>
        </w:rPr>
        <w:t xml:space="preserve"> (and preceding UDBs)</w:t>
      </w:r>
    </w:p>
    <w:p w14:paraId="4A631F00" w14:textId="3994DD0C" w:rsidR="00E4444D" w:rsidRDefault="00531C65" w:rsidP="00952BA4">
      <w:pPr>
        <w:pStyle w:val="Sourcereference"/>
        <w:jc w:val="both"/>
        <w:rPr>
          <w:lang w:eastAsia="en-GB"/>
        </w:rPr>
      </w:pPr>
      <w:r w:rsidRPr="00531C65">
        <w:rPr>
          <w:lang w:eastAsia="en-GB"/>
        </w:rPr>
        <w:t>Note: Confidence intervals for the disability group are large and reliability low. An average of several years may be needed to establish trends. National administrative data may provide alternati</w:t>
      </w:r>
      <w:r>
        <w:rPr>
          <w:lang w:eastAsia="en-GB"/>
        </w:rPr>
        <w:t>ve indications, where available</w:t>
      </w:r>
      <w:r w:rsidR="00DE7B06" w:rsidRPr="00DE7B06">
        <w:rPr>
          <w:lang w:eastAsia="en-GB"/>
        </w:rPr>
        <w:t>.</w:t>
      </w:r>
    </w:p>
    <w:p w14:paraId="5FFE4B1F" w14:textId="1AF5D622" w:rsidR="003F195C" w:rsidRPr="00E4444D" w:rsidRDefault="00E4444D" w:rsidP="00E4444D">
      <w:pPr>
        <w:spacing w:after="200" w:line="276" w:lineRule="auto"/>
        <w:rPr>
          <w:i/>
          <w:sz w:val="20"/>
          <w:lang w:eastAsia="en-GB"/>
        </w:rPr>
      </w:pPr>
      <w:r>
        <w:rPr>
          <w:lang w:eastAsia="en-GB"/>
        </w:rPr>
        <w:br w:type="page"/>
      </w:r>
    </w:p>
    <w:p w14:paraId="5F04D102" w14:textId="50CFC300" w:rsidR="00E4444D" w:rsidRPr="00E4444D" w:rsidRDefault="001851FF" w:rsidP="00E4444D">
      <w:pPr>
        <w:pStyle w:val="Heading3"/>
      </w:pPr>
      <w:bookmarkStart w:id="27" w:name="_Toc528662159"/>
      <w:r>
        <w:lastRenderedPageBreak/>
        <w:t>Alternative sources of national disability education data</w:t>
      </w:r>
      <w:bookmarkEnd w:id="27"/>
    </w:p>
    <w:p w14:paraId="2C2D425F" w14:textId="77777777" w:rsidR="00E4444D" w:rsidRDefault="00E4444D" w:rsidP="00E4444D"/>
    <w:p w14:paraId="2A42F06F" w14:textId="4D78BE67" w:rsidR="00875F7E" w:rsidRPr="00B25DFD" w:rsidRDefault="00875F7E" w:rsidP="00B25DFD">
      <w:pPr>
        <w:keepNext/>
        <w:keepLines/>
        <w:pBdr>
          <w:bar w:val="single" w:sz="4" w:color="auto"/>
        </w:pBdr>
        <w:rPr>
          <w:b/>
          <w:sz w:val="20"/>
          <w:szCs w:val="20"/>
        </w:rPr>
      </w:pPr>
      <w:r w:rsidRPr="00B25DFD">
        <w:rPr>
          <w:b/>
          <w:sz w:val="20"/>
          <w:szCs w:val="20"/>
        </w:rPr>
        <w:t>Table 16 Pupils with special educational needs in mainstream and special schools</w:t>
      </w:r>
    </w:p>
    <w:tbl>
      <w:tblPr>
        <w:tblStyle w:val="TableGrid"/>
        <w:tblW w:w="0" w:type="auto"/>
        <w:tblLayout w:type="fixed"/>
        <w:tblLook w:val="04A0" w:firstRow="1" w:lastRow="0" w:firstColumn="1" w:lastColumn="0" w:noHBand="0" w:noVBand="1"/>
      </w:tblPr>
      <w:tblGrid>
        <w:gridCol w:w="1668"/>
        <w:gridCol w:w="3787"/>
        <w:gridCol w:w="3787"/>
      </w:tblGrid>
      <w:tr w:rsidR="00A10533" w:rsidRPr="00E71874" w14:paraId="02CCD6C8" w14:textId="77777777" w:rsidTr="00E75C0F">
        <w:trPr>
          <w:trHeight w:val="255"/>
        </w:trPr>
        <w:tc>
          <w:tcPr>
            <w:tcW w:w="9242" w:type="dxa"/>
            <w:gridSpan w:val="3"/>
            <w:noWrap/>
            <w:hideMark/>
          </w:tcPr>
          <w:p w14:paraId="1A77D902" w14:textId="77777777" w:rsidR="00A10533" w:rsidRPr="00E71874" w:rsidRDefault="00A10533" w:rsidP="00B25DFD">
            <w:pPr>
              <w:keepNext/>
              <w:keepLines/>
              <w:spacing w:after="200" w:line="276" w:lineRule="auto"/>
              <w:jc w:val="center"/>
              <w:rPr>
                <w:b/>
                <w:bCs/>
                <w:sz w:val="20"/>
                <w:szCs w:val="20"/>
              </w:rPr>
            </w:pPr>
            <w:r w:rsidRPr="00E71874">
              <w:rPr>
                <w:b/>
                <w:bCs/>
                <w:sz w:val="20"/>
                <w:szCs w:val="20"/>
              </w:rPr>
              <w:t>Number of primary schools / pupils</w:t>
            </w:r>
          </w:p>
        </w:tc>
      </w:tr>
      <w:tr w:rsidR="00A10533" w:rsidRPr="00E71874" w14:paraId="027A1130" w14:textId="77777777" w:rsidTr="00E75C0F">
        <w:trPr>
          <w:trHeight w:val="255"/>
        </w:trPr>
        <w:tc>
          <w:tcPr>
            <w:tcW w:w="1668" w:type="dxa"/>
            <w:noWrap/>
            <w:vAlign w:val="center"/>
            <w:hideMark/>
          </w:tcPr>
          <w:p w14:paraId="07585ADA" w14:textId="77777777" w:rsidR="00A10533" w:rsidRPr="00A10533" w:rsidRDefault="00A10533" w:rsidP="00B25DFD">
            <w:pPr>
              <w:keepNext/>
              <w:keepLines/>
              <w:spacing w:after="200" w:line="276" w:lineRule="auto"/>
              <w:jc w:val="center"/>
              <w:rPr>
                <w:sz w:val="20"/>
                <w:szCs w:val="20"/>
              </w:rPr>
            </w:pPr>
            <w:r w:rsidRPr="00A10533">
              <w:rPr>
                <w:sz w:val="20"/>
                <w:szCs w:val="20"/>
              </w:rPr>
              <w:t>School year</w:t>
            </w:r>
          </w:p>
        </w:tc>
        <w:tc>
          <w:tcPr>
            <w:tcW w:w="3787" w:type="dxa"/>
            <w:noWrap/>
            <w:vAlign w:val="center"/>
            <w:hideMark/>
          </w:tcPr>
          <w:p w14:paraId="63A20668" w14:textId="77777777" w:rsidR="00A10533" w:rsidRPr="00E71874" w:rsidRDefault="00A10533" w:rsidP="00B25DFD">
            <w:pPr>
              <w:keepNext/>
              <w:keepLines/>
              <w:spacing w:after="200" w:line="276" w:lineRule="auto"/>
              <w:jc w:val="center"/>
              <w:rPr>
                <w:b/>
                <w:bCs/>
                <w:sz w:val="20"/>
                <w:szCs w:val="20"/>
              </w:rPr>
            </w:pPr>
            <w:r w:rsidRPr="00E71874">
              <w:rPr>
                <w:b/>
                <w:bCs/>
                <w:sz w:val="20"/>
                <w:szCs w:val="20"/>
              </w:rPr>
              <w:t>Primary special schools</w:t>
            </w:r>
          </w:p>
        </w:tc>
        <w:tc>
          <w:tcPr>
            <w:tcW w:w="3787" w:type="dxa"/>
            <w:noWrap/>
            <w:vAlign w:val="center"/>
            <w:hideMark/>
          </w:tcPr>
          <w:p w14:paraId="59DCB0DE" w14:textId="77777777" w:rsidR="00A10533" w:rsidRPr="00E71874" w:rsidRDefault="00A10533" w:rsidP="00B25DFD">
            <w:pPr>
              <w:keepNext/>
              <w:keepLines/>
              <w:spacing w:after="200" w:line="276" w:lineRule="auto"/>
              <w:jc w:val="center"/>
              <w:rPr>
                <w:b/>
                <w:bCs/>
                <w:sz w:val="20"/>
                <w:szCs w:val="20"/>
              </w:rPr>
            </w:pPr>
            <w:r w:rsidRPr="00E71874">
              <w:rPr>
                <w:b/>
                <w:bCs/>
                <w:sz w:val="20"/>
                <w:szCs w:val="20"/>
              </w:rPr>
              <w:t>Pupils with special educational needs in mainstream schools (individual and group integration)</w:t>
            </w:r>
          </w:p>
        </w:tc>
      </w:tr>
      <w:tr w:rsidR="00A10533" w:rsidRPr="00A10533" w14:paraId="79FF2F54" w14:textId="77777777" w:rsidTr="00E75C0F">
        <w:trPr>
          <w:trHeight w:val="255"/>
        </w:trPr>
        <w:tc>
          <w:tcPr>
            <w:tcW w:w="1668" w:type="dxa"/>
            <w:noWrap/>
            <w:hideMark/>
          </w:tcPr>
          <w:p w14:paraId="1FF21E6E" w14:textId="77777777" w:rsidR="00A10533" w:rsidRPr="00A10533" w:rsidRDefault="00A10533" w:rsidP="00B25DFD">
            <w:pPr>
              <w:keepNext/>
              <w:keepLines/>
              <w:spacing w:after="200" w:line="276" w:lineRule="auto"/>
              <w:rPr>
                <w:sz w:val="20"/>
                <w:szCs w:val="20"/>
              </w:rPr>
            </w:pPr>
            <w:r w:rsidRPr="00A10533">
              <w:rPr>
                <w:sz w:val="20"/>
                <w:szCs w:val="20"/>
              </w:rPr>
              <w:t>2013/2014</w:t>
            </w:r>
          </w:p>
        </w:tc>
        <w:tc>
          <w:tcPr>
            <w:tcW w:w="3787" w:type="dxa"/>
            <w:noWrap/>
            <w:hideMark/>
          </w:tcPr>
          <w:p w14:paraId="26861A16" w14:textId="77777777" w:rsidR="00A10533" w:rsidRPr="00A10533" w:rsidRDefault="00A10533" w:rsidP="00B25DFD">
            <w:pPr>
              <w:keepNext/>
              <w:keepLines/>
              <w:spacing w:after="200" w:line="276" w:lineRule="auto"/>
              <w:jc w:val="right"/>
              <w:rPr>
                <w:sz w:val="20"/>
                <w:szCs w:val="20"/>
              </w:rPr>
            </w:pPr>
            <w:r w:rsidRPr="00A10533">
              <w:rPr>
                <w:sz w:val="20"/>
                <w:szCs w:val="20"/>
              </w:rPr>
              <w:t>397</w:t>
            </w:r>
          </w:p>
        </w:tc>
        <w:tc>
          <w:tcPr>
            <w:tcW w:w="3787" w:type="dxa"/>
            <w:noWrap/>
            <w:hideMark/>
          </w:tcPr>
          <w:p w14:paraId="01A38A59" w14:textId="77777777" w:rsidR="00A10533" w:rsidRPr="00A10533" w:rsidRDefault="00A10533" w:rsidP="00B25DFD">
            <w:pPr>
              <w:keepNext/>
              <w:keepLines/>
              <w:spacing w:after="200" w:line="276" w:lineRule="auto"/>
              <w:jc w:val="right"/>
              <w:rPr>
                <w:sz w:val="20"/>
                <w:szCs w:val="20"/>
              </w:rPr>
            </w:pPr>
            <w:r w:rsidRPr="00A10533">
              <w:rPr>
                <w:sz w:val="20"/>
                <w:szCs w:val="20"/>
              </w:rPr>
              <w:t>49 594</w:t>
            </w:r>
          </w:p>
        </w:tc>
      </w:tr>
      <w:tr w:rsidR="00A10533" w:rsidRPr="00A10533" w14:paraId="4D442F4F" w14:textId="77777777" w:rsidTr="00E75C0F">
        <w:trPr>
          <w:trHeight w:val="255"/>
        </w:trPr>
        <w:tc>
          <w:tcPr>
            <w:tcW w:w="1668" w:type="dxa"/>
            <w:noWrap/>
            <w:hideMark/>
          </w:tcPr>
          <w:p w14:paraId="4DC78FCB" w14:textId="77777777" w:rsidR="00A10533" w:rsidRPr="00A10533" w:rsidRDefault="00A10533" w:rsidP="00B25DFD">
            <w:pPr>
              <w:keepNext/>
              <w:keepLines/>
              <w:spacing w:after="200" w:line="276" w:lineRule="auto"/>
              <w:ind w:left="720"/>
              <w:rPr>
                <w:sz w:val="20"/>
                <w:szCs w:val="20"/>
              </w:rPr>
            </w:pPr>
            <w:r w:rsidRPr="00A10533">
              <w:rPr>
                <w:sz w:val="20"/>
                <w:szCs w:val="20"/>
              </w:rPr>
              <w:t xml:space="preserve">Change </w:t>
            </w:r>
          </w:p>
        </w:tc>
        <w:tc>
          <w:tcPr>
            <w:tcW w:w="3787" w:type="dxa"/>
            <w:noWrap/>
            <w:hideMark/>
          </w:tcPr>
          <w:p w14:paraId="7BE441B9" w14:textId="77777777" w:rsidR="00A10533" w:rsidRPr="00A10533" w:rsidRDefault="00A10533" w:rsidP="00B25DFD">
            <w:pPr>
              <w:keepNext/>
              <w:keepLines/>
              <w:spacing w:after="200" w:line="276" w:lineRule="auto"/>
              <w:rPr>
                <w:sz w:val="20"/>
                <w:szCs w:val="20"/>
              </w:rPr>
            </w:pPr>
            <w:r w:rsidRPr="00A10533">
              <w:rPr>
                <w:sz w:val="20"/>
                <w:szCs w:val="20"/>
              </w:rPr>
              <w:t>↓ -4</w:t>
            </w:r>
          </w:p>
        </w:tc>
        <w:tc>
          <w:tcPr>
            <w:tcW w:w="3787" w:type="dxa"/>
            <w:noWrap/>
            <w:hideMark/>
          </w:tcPr>
          <w:p w14:paraId="7EBA5462" w14:textId="77777777" w:rsidR="00A10533" w:rsidRPr="00A10533" w:rsidRDefault="00A10533" w:rsidP="00B25DFD">
            <w:pPr>
              <w:keepNext/>
              <w:keepLines/>
              <w:spacing w:after="200" w:line="276" w:lineRule="auto"/>
              <w:rPr>
                <w:sz w:val="20"/>
                <w:szCs w:val="20"/>
              </w:rPr>
            </w:pPr>
            <w:r w:rsidRPr="00A10533">
              <w:rPr>
                <w:sz w:val="20"/>
                <w:szCs w:val="20"/>
              </w:rPr>
              <w:t>↑ +2 377</w:t>
            </w:r>
          </w:p>
        </w:tc>
      </w:tr>
      <w:tr w:rsidR="00A10533" w:rsidRPr="00A10533" w14:paraId="4C3451F1" w14:textId="77777777" w:rsidTr="00E75C0F">
        <w:trPr>
          <w:trHeight w:val="255"/>
        </w:trPr>
        <w:tc>
          <w:tcPr>
            <w:tcW w:w="1668" w:type="dxa"/>
            <w:noWrap/>
            <w:hideMark/>
          </w:tcPr>
          <w:p w14:paraId="4BD7BF58" w14:textId="77777777" w:rsidR="00A10533" w:rsidRPr="00A10533" w:rsidRDefault="00A10533" w:rsidP="00B25DFD">
            <w:pPr>
              <w:keepNext/>
              <w:keepLines/>
              <w:spacing w:after="200" w:line="276" w:lineRule="auto"/>
              <w:rPr>
                <w:sz w:val="20"/>
                <w:szCs w:val="20"/>
              </w:rPr>
            </w:pPr>
            <w:r w:rsidRPr="00A10533">
              <w:rPr>
                <w:sz w:val="20"/>
                <w:szCs w:val="20"/>
              </w:rPr>
              <w:t>2014/2015</w:t>
            </w:r>
          </w:p>
        </w:tc>
        <w:tc>
          <w:tcPr>
            <w:tcW w:w="3787" w:type="dxa"/>
            <w:noWrap/>
            <w:hideMark/>
          </w:tcPr>
          <w:p w14:paraId="2ED45E0C" w14:textId="77777777" w:rsidR="00A10533" w:rsidRPr="00A10533" w:rsidRDefault="00A10533" w:rsidP="00B25DFD">
            <w:pPr>
              <w:keepNext/>
              <w:keepLines/>
              <w:spacing w:after="200" w:line="276" w:lineRule="auto"/>
              <w:jc w:val="right"/>
              <w:rPr>
                <w:sz w:val="20"/>
                <w:szCs w:val="20"/>
              </w:rPr>
            </w:pPr>
            <w:r w:rsidRPr="00A10533">
              <w:rPr>
                <w:sz w:val="20"/>
                <w:szCs w:val="20"/>
              </w:rPr>
              <w:t>393</w:t>
            </w:r>
          </w:p>
        </w:tc>
        <w:tc>
          <w:tcPr>
            <w:tcW w:w="3787" w:type="dxa"/>
            <w:noWrap/>
            <w:hideMark/>
          </w:tcPr>
          <w:p w14:paraId="2428CC5A" w14:textId="77777777" w:rsidR="00A10533" w:rsidRPr="00A10533" w:rsidRDefault="00A10533" w:rsidP="00B25DFD">
            <w:pPr>
              <w:keepNext/>
              <w:keepLines/>
              <w:spacing w:after="200" w:line="276" w:lineRule="auto"/>
              <w:jc w:val="right"/>
              <w:rPr>
                <w:sz w:val="20"/>
                <w:szCs w:val="20"/>
              </w:rPr>
            </w:pPr>
            <w:r w:rsidRPr="00A10533">
              <w:rPr>
                <w:sz w:val="20"/>
                <w:szCs w:val="20"/>
              </w:rPr>
              <w:t>51 971</w:t>
            </w:r>
          </w:p>
        </w:tc>
      </w:tr>
      <w:tr w:rsidR="00A10533" w:rsidRPr="00A10533" w14:paraId="1B8CFA09" w14:textId="77777777" w:rsidTr="00E75C0F">
        <w:trPr>
          <w:trHeight w:val="255"/>
        </w:trPr>
        <w:tc>
          <w:tcPr>
            <w:tcW w:w="1668" w:type="dxa"/>
            <w:noWrap/>
            <w:hideMark/>
          </w:tcPr>
          <w:p w14:paraId="0E385BB4" w14:textId="77777777" w:rsidR="00A10533" w:rsidRPr="00A10533" w:rsidRDefault="00A10533" w:rsidP="00B25DFD">
            <w:pPr>
              <w:keepNext/>
              <w:keepLines/>
              <w:spacing w:after="200" w:line="276" w:lineRule="auto"/>
              <w:ind w:left="720"/>
              <w:rPr>
                <w:sz w:val="20"/>
                <w:szCs w:val="20"/>
              </w:rPr>
            </w:pPr>
            <w:r w:rsidRPr="00A10533">
              <w:rPr>
                <w:sz w:val="20"/>
                <w:szCs w:val="20"/>
              </w:rPr>
              <w:t xml:space="preserve">Change </w:t>
            </w:r>
          </w:p>
        </w:tc>
        <w:tc>
          <w:tcPr>
            <w:tcW w:w="3787" w:type="dxa"/>
            <w:noWrap/>
            <w:hideMark/>
          </w:tcPr>
          <w:p w14:paraId="2322B101" w14:textId="77777777" w:rsidR="00A10533" w:rsidRPr="00A10533" w:rsidRDefault="00A10533" w:rsidP="00B25DFD">
            <w:pPr>
              <w:keepNext/>
              <w:keepLines/>
              <w:spacing w:after="200" w:line="276" w:lineRule="auto"/>
              <w:rPr>
                <w:sz w:val="20"/>
                <w:szCs w:val="20"/>
              </w:rPr>
            </w:pPr>
            <w:r w:rsidRPr="00A10533">
              <w:rPr>
                <w:sz w:val="20"/>
                <w:szCs w:val="20"/>
              </w:rPr>
              <w:t>↓ -5</w:t>
            </w:r>
          </w:p>
        </w:tc>
        <w:tc>
          <w:tcPr>
            <w:tcW w:w="3787" w:type="dxa"/>
            <w:noWrap/>
            <w:hideMark/>
          </w:tcPr>
          <w:p w14:paraId="04ED3814" w14:textId="77777777" w:rsidR="00A10533" w:rsidRPr="00A10533" w:rsidRDefault="00A10533" w:rsidP="00B25DFD">
            <w:pPr>
              <w:keepNext/>
              <w:keepLines/>
              <w:spacing w:after="200" w:line="276" w:lineRule="auto"/>
              <w:rPr>
                <w:sz w:val="20"/>
                <w:szCs w:val="20"/>
              </w:rPr>
            </w:pPr>
            <w:r w:rsidRPr="00A10533">
              <w:rPr>
                <w:sz w:val="20"/>
                <w:szCs w:val="20"/>
              </w:rPr>
              <w:t>↑ +2 866</w:t>
            </w:r>
          </w:p>
        </w:tc>
      </w:tr>
      <w:tr w:rsidR="00A10533" w:rsidRPr="00A10533" w14:paraId="1E70EA88" w14:textId="77777777" w:rsidTr="00E75C0F">
        <w:trPr>
          <w:trHeight w:val="255"/>
        </w:trPr>
        <w:tc>
          <w:tcPr>
            <w:tcW w:w="1668" w:type="dxa"/>
            <w:noWrap/>
            <w:hideMark/>
          </w:tcPr>
          <w:p w14:paraId="0A60E98A" w14:textId="77777777" w:rsidR="00A10533" w:rsidRPr="00A10533" w:rsidRDefault="00A10533" w:rsidP="00B25DFD">
            <w:pPr>
              <w:keepNext/>
              <w:keepLines/>
              <w:spacing w:after="200" w:line="276" w:lineRule="auto"/>
              <w:rPr>
                <w:sz w:val="20"/>
                <w:szCs w:val="20"/>
              </w:rPr>
            </w:pPr>
            <w:r w:rsidRPr="00A10533">
              <w:rPr>
                <w:sz w:val="20"/>
                <w:szCs w:val="20"/>
              </w:rPr>
              <w:t>2015/2016</w:t>
            </w:r>
          </w:p>
        </w:tc>
        <w:tc>
          <w:tcPr>
            <w:tcW w:w="3787" w:type="dxa"/>
            <w:noWrap/>
            <w:hideMark/>
          </w:tcPr>
          <w:p w14:paraId="42EC0470" w14:textId="77777777" w:rsidR="00A10533" w:rsidRPr="00A10533" w:rsidRDefault="00A10533" w:rsidP="00B25DFD">
            <w:pPr>
              <w:keepNext/>
              <w:keepLines/>
              <w:spacing w:after="200" w:line="276" w:lineRule="auto"/>
              <w:jc w:val="right"/>
              <w:rPr>
                <w:sz w:val="20"/>
                <w:szCs w:val="20"/>
              </w:rPr>
            </w:pPr>
            <w:r w:rsidRPr="00A10533">
              <w:rPr>
                <w:sz w:val="20"/>
                <w:szCs w:val="20"/>
              </w:rPr>
              <w:t>388</w:t>
            </w:r>
          </w:p>
        </w:tc>
        <w:tc>
          <w:tcPr>
            <w:tcW w:w="3787" w:type="dxa"/>
            <w:noWrap/>
            <w:hideMark/>
          </w:tcPr>
          <w:p w14:paraId="73730417" w14:textId="77777777" w:rsidR="00A10533" w:rsidRPr="00A10533" w:rsidRDefault="00A10533" w:rsidP="00B25DFD">
            <w:pPr>
              <w:keepNext/>
              <w:keepLines/>
              <w:spacing w:after="200" w:line="276" w:lineRule="auto"/>
              <w:jc w:val="right"/>
              <w:rPr>
                <w:sz w:val="20"/>
                <w:szCs w:val="20"/>
              </w:rPr>
            </w:pPr>
            <w:r w:rsidRPr="00A10533">
              <w:rPr>
                <w:sz w:val="20"/>
                <w:szCs w:val="20"/>
              </w:rPr>
              <w:t>54 837</w:t>
            </w:r>
          </w:p>
        </w:tc>
      </w:tr>
      <w:tr w:rsidR="00A10533" w:rsidRPr="00A10533" w14:paraId="47F0A900" w14:textId="77777777" w:rsidTr="00B25DFD">
        <w:trPr>
          <w:trHeight w:val="77"/>
        </w:trPr>
        <w:tc>
          <w:tcPr>
            <w:tcW w:w="1668" w:type="dxa"/>
            <w:noWrap/>
            <w:hideMark/>
          </w:tcPr>
          <w:p w14:paraId="6CE226C4" w14:textId="77777777" w:rsidR="00A10533" w:rsidRPr="00A10533" w:rsidRDefault="00A10533" w:rsidP="00B25DFD">
            <w:pPr>
              <w:keepNext/>
              <w:keepLines/>
              <w:spacing w:after="200" w:line="276" w:lineRule="auto"/>
              <w:ind w:left="720"/>
              <w:rPr>
                <w:sz w:val="20"/>
                <w:szCs w:val="20"/>
              </w:rPr>
            </w:pPr>
            <w:r w:rsidRPr="00A10533">
              <w:rPr>
                <w:sz w:val="20"/>
                <w:szCs w:val="20"/>
              </w:rPr>
              <w:t xml:space="preserve">Change </w:t>
            </w:r>
          </w:p>
        </w:tc>
        <w:tc>
          <w:tcPr>
            <w:tcW w:w="3787" w:type="dxa"/>
            <w:noWrap/>
            <w:hideMark/>
          </w:tcPr>
          <w:p w14:paraId="3AF6125B" w14:textId="77777777" w:rsidR="00A10533" w:rsidRPr="00A10533" w:rsidRDefault="00A10533" w:rsidP="00B25DFD">
            <w:pPr>
              <w:keepNext/>
              <w:keepLines/>
              <w:spacing w:after="200" w:line="276" w:lineRule="auto"/>
              <w:rPr>
                <w:sz w:val="20"/>
                <w:szCs w:val="20"/>
              </w:rPr>
            </w:pPr>
            <w:r w:rsidRPr="00A10533">
              <w:rPr>
                <w:sz w:val="20"/>
                <w:szCs w:val="20"/>
              </w:rPr>
              <w:t>↓ -39</w:t>
            </w:r>
          </w:p>
        </w:tc>
        <w:tc>
          <w:tcPr>
            <w:tcW w:w="3787" w:type="dxa"/>
            <w:noWrap/>
            <w:hideMark/>
          </w:tcPr>
          <w:p w14:paraId="0D2B0F25" w14:textId="77777777" w:rsidR="00A10533" w:rsidRPr="00A10533" w:rsidRDefault="00A10533" w:rsidP="00B25DFD">
            <w:pPr>
              <w:keepNext/>
              <w:keepLines/>
              <w:spacing w:after="200" w:line="276" w:lineRule="auto"/>
              <w:rPr>
                <w:sz w:val="20"/>
                <w:szCs w:val="20"/>
              </w:rPr>
            </w:pPr>
            <w:r w:rsidRPr="00A10533">
              <w:rPr>
                <w:sz w:val="20"/>
                <w:szCs w:val="20"/>
              </w:rPr>
              <w:t>↑ +4 086</w:t>
            </w:r>
          </w:p>
        </w:tc>
      </w:tr>
      <w:tr w:rsidR="00A10533" w:rsidRPr="00A10533" w14:paraId="5986FFA4" w14:textId="77777777" w:rsidTr="00E75C0F">
        <w:trPr>
          <w:trHeight w:val="255"/>
        </w:trPr>
        <w:tc>
          <w:tcPr>
            <w:tcW w:w="1668" w:type="dxa"/>
            <w:noWrap/>
            <w:hideMark/>
          </w:tcPr>
          <w:p w14:paraId="7690456E" w14:textId="77777777" w:rsidR="00A10533" w:rsidRPr="00A10533" w:rsidRDefault="00A10533" w:rsidP="00B25DFD">
            <w:pPr>
              <w:keepNext/>
              <w:keepLines/>
              <w:spacing w:after="200" w:line="276" w:lineRule="auto"/>
              <w:rPr>
                <w:sz w:val="20"/>
                <w:szCs w:val="20"/>
              </w:rPr>
            </w:pPr>
            <w:r w:rsidRPr="00A10533">
              <w:rPr>
                <w:sz w:val="20"/>
                <w:szCs w:val="20"/>
              </w:rPr>
              <w:t>2016/2017</w:t>
            </w:r>
          </w:p>
        </w:tc>
        <w:tc>
          <w:tcPr>
            <w:tcW w:w="3787" w:type="dxa"/>
            <w:noWrap/>
            <w:hideMark/>
          </w:tcPr>
          <w:p w14:paraId="17C48466" w14:textId="77777777" w:rsidR="00A10533" w:rsidRPr="00A10533" w:rsidRDefault="00A10533" w:rsidP="00B25DFD">
            <w:pPr>
              <w:keepNext/>
              <w:keepLines/>
              <w:spacing w:after="200" w:line="276" w:lineRule="auto"/>
              <w:jc w:val="right"/>
              <w:rPr>
                <w:sz w:val="20"/>
                <w:szCs w:val="20"/>
              </w:rPr>
            </w:pPr>
            <w:r w:rsidRPr="00A10533">
              <w:rPr>
                <w:sz w:val="20"/>
                <w:szCs w:val="20"/>
              </w:rPr>
              <w:t>349</w:t>
            </w:r>
          </w:p>
        </w:tc>
        <w:tc>
          <w:tcPr>
            <w:tcW w:w="3787" w:type="dxa"/>
            <w:noWrap/>
            <w:hideMark/>
          </w:tcPr>
          <w:p w14:paraId="6918050F" w14:textId="77777777" w:rsidR="00A10533" w:rsidRPr="00A10533" w:rsidRDefault="00A10533" w:rsidP="00B25DFD">
            <w:pPr>
              <w:keepNext/>
              <w:keepLines/>
              <w:spacing w:after="200" w:line="276" w:lineRule="auto"/>
              <w:jc w:val="right"/>
              <w:rPr>
                <w:sz w:val="20"/>
                <w:szCs w:val="20"/>
              </w:rPr>
            </w:pPr>
            <w:r w:rsidRPr="00A10533">
              <w:rPr>
                <w:sz w:val="20"/>
                <w:szCs w:val="20"/>
              </w:rPr>
              <w:t>58 923</w:t>
            </w:r>
          </w:p>
        </w:tc>
      </w:tr>
      <w:tr w:rsidR="00A10533" w:rsidRPr="00A10533" w14:paraId="3F0D1F47" w14:textId="77777777" w:rsidTr="00E75C0F">
        <w:trPr>
          <w:trHeight w:val="255"/>
        </w:trPr>
        <w:tc>
          <w:tcPr>
            <w:tcW w:w="1668" w:type="dxa"/>
            <w:noWrap/>
            <w:hideMark/>
          </w:tcPr>
          <w:p w14:paraId="2B0A25B3" w14:textId="77777777" w:rsidR="00A10533" w:rsidRPr="00A10533" w:rsidRDefault="00A10533" w:rsidP="00B25DFD">
            <w:pPr>
              <w:keepNext/>
              <w:keepLines/>
              <w:spacing w:after="200" w:line="276" w:lineRule="auto"/>
              <w:ind w:left="720"/>
              <w:rPr>
                <w:sz w:val="20"/>
                <w:szCs w:val="20"/>
              </w:rPr>
            </w:pPr>
            <w:r w:rsidRPr="00A10533">
              <w:rPr>
                <w:sz w:val="20"/>
                <w:szCs w:val="20"/>
              </w:rPr>
              <w:t>Change</w:t>
            </w:r>
          </w:p>
        </w:tc>
        <w:tc>
          <w:tcPr>
            <w:tcW w:w="3787" w:type="dxa"/>
            <w:noWrap/>
            <w:hideMark/>
          </w:tcPr>
          <w:p w14:paraId="3F5505D1" w14:textId="77777777" w:rsidR="00A10533" w:rsidRPr="00A10533" w:rsidRDefault="00A10533" w:rsidP="00B25DFD">
            <w:pPr>
              <w:keepNext/>
              <w:keepLines/>
              <w:spacing w:after="200" w:line="276" w:lineRule="auto"/>
              <w:rPr>
                <w:sz w:val="20"/>
                <w:szCs w:val="20"/>
              </w:rPr>
            </w:pPr>
            <w:r w:rsidRPr="00A10533">
              <w:rPr>
                <w:sz w:val="20"/>
                <w:szCs w:val="20"/>
              </w:rPr>
              <w:t>↓ -17</w:t>
            </w:r>
          </w:p>
        </w:tc>
        <w:tc>
          <w:tcPr>
            <w:tcW w:w="3787" w:type="dxa"/>
            <w:noWrap/>
            <w:hideMark/>
          </w:tcPr>
          <w:p w14:paraId="3BCCE8D6" w14:textId="77777777" w:rsidR="00A10533" w:rsidRPr="00A10533" w:rsidRDefault="00A10533" w:rsidP="00B25DFD">
            <w:pPr>
              <w:keepNext/>
              <w:keepLines/>
              <w:spacing w:after="200" w:line="276" w:lineRule="auto"/>
              <w:rPr>
                <w:sz w:val="20"/>
                <w:szCs w:val="20"/>
              </w:rPr>
            </w:pPr>
            <w:r w:rsidRPr="00A10533">
              <w:rPr>
                <w:sz w:val="20"/>
                <w:szCs w:val="20"/>
              </w:rPr>
              <w:t>↑ +14 755</w:t>
            </w:r>
          </w:p>
        </w:tc>
      </w:tr>
      <w:tr w:rsidR="00A10533" w:rsidRPr="00A10533" w14:paraId="1AB86159" w14:textId="77777777" w:rsidTr="00E75C0F">
        <w:trPr>
          <w:trHeight w:val="255"/>
        </w:trPr>
        <w:tc>
          <w:tcPr>
            <w:tcW w:w="1668" w:type="dxa"/>
            <w:noWrap/>
            <w:hideMark/>
          </w:tcPr>
          <w:p w14:paraId="7575AFD8" w14:textId="77777777" w:rsidR="00A10533" w:rsidRPr="00A10533" w:rsidRDefault="00A10533" w:rsidP="00B25DFD">
            <w:pPr>
              <w:keepNext/>
              <w:keepLines/>
              <w:spacing w:after="200" w:line="276" w:lineRule="auto"/>
              <w:rPr>
                <w:sz w:val="20"/>
                <w:szCs w:val="20"/>
              </w:rPr>
            </w:pPr>
            <w:r w:rsidRPr="00A10533">
              <w:rPr>
                <w:sz w:val="20"/>
                <w:szCs w:val="20"/>
              </w:rPr>
              <w:t>2017/2018</w:t>
            </w:r>
          </w:p>
        </w:tc>
        <w:tc>
          <w:tcPr>
            <w:tcW w:w="3787" w:type="dxa"/>
            <w:noWrap/>
            <w:hideMark/>
          </w:tcPr>
          <w:p w14:paraId="3EE7F57E" w14:textId="77777777" w:rsidR="00A10533" w:rsidRPr="00A10533" w:rsidRDefault="00A10533" w:rsidP="00B25DFD">
            <w:pPr>
              <w:keepNext/>
              <w:keepLines/>
              <w:spacing w:after="200" w:line="276" w:lineRule="auto"/>
              <w:jc w:val="right"/>
              <w:rPr>
                <w:sz w:val="20"/>
                <w:szCs w:val="20"/>
              </w:rPr>
            </w:pPr>
            <w:r w:rsidRPr="00A10533">
              <w:rPr>
                <w:sz w:val="20"/>
                <w:szCs w:val="20"/>
              </w:rPr>
              <w:t>332</w:t>
            </w:r>
          </w:p>
        </w:tc>
        <w:tc>
          <w:tcPr>
            <w:tcW w:w="3787" w:type="dxa"/>
            <w:noWrap/>
            <w:hideMark/>
          </w:tcPr>
          <w:p w14:paraId="63C1BE8F" w14:textId="77777777" w:rsidR="00A10533" w:rsidRPr="00A10533" w:rsidRDefault="00A10533" w:rsidP="00B25DFD">
            <w:pPr>
              <w:keepNext/>
              <w:keepLines/>
              <w:spacing w:after="200" w:line="276" w:lineRule="auto"/>
              <w:jc w:val="right"/>
              <w:rPr>
                <w:sz w:val="20"/>
                <w:szCs w:val="20"/>
              </w:rPr>
            </w:pPr>
            <w:r w:rsidRPr="00A10533">
              <w:rPr>
                <w:sz w:val="20"/>
                <w:szCs w:val="20"/>
              </w:rPr>
              <w:t>73 678</w:t>
            </w:r>
          </w:p>
        </w:tc>
      </w:tr>
    </w:tbl>
    <w:p w14:paraId="4954D8B1" w14:textId="1ED297B5" w:rsidR="00875F7E" w:rsidRPr="00B25DFD" w:rsidRDefault="00875F7E" w:rsidP="00B25DFD">
      <w:pPr>
        <w:keepNext/>
        <w:keepLines/>
        <w:rPr>
          <w:i/>
          <w:sz w:val="20"/>
          <w:szCs w:val="20"/>
        </w:rPr>
      </w:pPr>
      <w:r w:rsidRPr="00B25DFD">
        <w:rPr>
          <w:i/>
          <w:sz w:val="20"/>
          <w:szCs w:val="20"/>
        </w:rPr>
        <w:t>Source: Czech Republic. Ministry of Education, Youth and Sports</w:t>
      </w:r>
      <w:r>
        <w:rPr>
          <w:i/>
          <w:sz w:val="20"/>
          <w:szCs w:val="20"/>
        </w:rPr>
        <w:t xml:space="preserve">. </w:t>
      </w:r>
      <w:r w:rsidRPr="00B25DFD">
        <w:rPr>
          <w:i/>
          <w:sz w:val="20"/>
          <w:szCs w:val="20"/>
        </w:rPr>
        <w:t xml:space="preserve"> </w:t>
      </w:r>
      <w:hyperlink r:id="rId24" w:history="1">
        <w:r w:rsidRPr="00EC02DA">
          <w:rPr>
            <w:rStyle w:val="Hyperlink"/>
            <w:i/>
            <w:sz w:val="20"/>
            <w:szCs w:val="20"/>
          </w:rPr>
          <w:t>http://www.msmt.cz</w:t>
        </w:r>
      </w:hyperlink>
      <w:r>
        <w:rPr>
          <w:i/>
          <w:sz w:val="20"/>
          <w:szCs w:val="20"/>
        </w:rPr>
        <w:t xml:space="preserve"> </w:t>
      </w:r>
    </w:p>
    <w:p w14:paraId="6C002202" w14:textId="7B9B8973" w:rsidR="00875F7E" w:rsidRDefault="00875F7E" w:rsidP="00FD5457">
      <w:pPr>
        <w:jc w:val="both"/>
      </w:pPr>
    </w:p>
    <w:p w14:paraId="1012AB29" w14:textId="513E086C" w:rsidR="00875F7E" w:rsidRDefault="00875F7E" w:rsidP="00FD5457">
      <w:pPr>
        <w:jc w:val="both"/>
      </w:pPr>
      <w:r>
        <w:t xml:space="preserve">The School Act 561/2005 made inclusive education legally possible for pupils with disabilities. Only amendment of the School Act 2016 formulated support </w:t>
      </w:r>
      <w:r w:rsidR="0030171B">
        <w:t>measures for them. However, as the t</w:t>
      </w:r>
      <w:r>
        <w:t xml:space="preserve">able 16 illustrates </w:t>
      </w:r>
      <w:r w:rsidR="0030171B">
        <w:t xml:space="preserve">number of pupils with disabilities attending mainstream schools has been increasing during last four years. The opposite trend can be seen in </w:t>
      </w:r>
      <w:proofErr w:type="gramStart"/>
      <w:r w:rsidR="0030171B">
        <w:t>a number of</w:t>
      </w:r>
      <w:proofErr w:type="gramEnd"/>
      <w:r w:rsidR="0030171B">
        <w:t xml:space="preserve"> special schools which has been declining. </w:t>
      </w:r>
    </w:p>
    <w:p w14:paraId="763CD62C" w14:textId="577B8FD5" w:rsidR="001851FF" w:rsidRDefault="001851FF" w:rsidP="00FD5457">
      <w:pPr>
        <w:rPr>
          <w:rFonts w:eastAsiaTheme="majorEastAsia"/>
          <w:b/>
          <w:bCs/>
          <w:szCs w:val="26"/>
        </w:rPr>
      </w:pPr>
      <w:r>
        <w:br w:type="page"/>
      </w:r>
    </w:p>
    <w:p w14:paraId="34A599B5" w14:textId="6424A5D9" w:rsidR="00EB54C7" w:rsidRDefault="00DE4BC5" w:rsidP="00875F7E">
      <w:pPr>
        <w:pStyle w:val="Heading2"/>
      </w:pPr>
      <w:bookmarkStart w:id="28" w:name="_Toc528662160"/>
      <w:r>
        <w:lastRenderedPageBreak/>
        <w:t>Disability and p</w:t>
      </w:r>
      <w:r w:rsidR="005C65DC">
        <w:t>overty</w:t>
      </w:r>
      <w:r w:rsidR="00D939BF">
        <w:t xml:space="preserve"> </w:t>
      </w:r>
      <w:r>
        <w:t>or</w:t>
      </w:r>
      <w:r w:rsidR="00D939BF">
        <w:t xml:space="preserve"> social exclusion data</w:t>
      </w:r>
      <w:r w:rsidR="001F6793">
        <w:t xml:space="preserve"> from EU-SILC</w:t>
      </w:r>
      <w:bookmarkEnd w:id="28"/>
    </w:p>
    <w:p w14:paraId="6CFB6B51" w14:textId="77777777" w:rsidR="00E4444D" w:rsidRPr="00E4444D" w:rsidRDefault="00E4444D" w:rsidP="00E4444D"/>
    <w:p w14:paraId="5F6C20D8" w14:textId="57A0AFE2" w:rsidR="0098674F" w:rsidRDefault="0098674F" w:rsidP="00875F7E">
      <w:pPr>
        <w:pStyle w:val="Caption"/>
      </w:pPr>
      <w:bookmarkStart w:id="29" w:name="_Ref526752628"/>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15</w:t>
      </w:r>
      <w:r w:rsidR="00F01BC2">
        <w:rPr>
          <w:noProof/>
        </w:rPr>
        <w:fldChar w:fldCharType="end"/>
      </w:r>
      <w:bookmarkEnd w:id="29"/>
      <w:r>
        <w:t>:</w:t>
      </w:r>
      <w:r w:rsidRPr="0098674F">
        <w:t xml:space="preserve"> </w:t>
      </w:r>
      <w:r w:rsidR="00EE70FF">
        <w:t>People at risk of poverty or social exclusion, by disability and risk</w:t>
      </w:r>
      <w:r w:rsidR="00B912FC">
        <w:t xml:space="preserve"> </w:t>
      </w:r>
      <w:r>
        <w:t>(</w:t>
      </w:r>
      <w:r w:rsidR="00B912FC">
        <w:t>aged 16-59</w:t>
      </w:r>
      <w:r>
        <w:t>)</w:t>
      </w:r>
    </w:p>
    <w:p w14:paraId="2E38948B" w14:textId="77777777" w:rsidR="002F4E40" w:rsidRDefault="002F4E40" w:rsidP="00875F7E">
      <w:bookmarkStart w:id="30" w:name="_GoBack"/>
      <w:r>
        <w:rPr>
          <w:noProof/>
          <w:lang w:eastAsia="zh-CN"/>
        </w:rPr>
        <w:drawing>
          <wp:inline distT="0" distB="0" distL="0" distR="0" wp14:anchorId="4BA76406" wp14:editId="6FB5179D">
            <wp:extent cx="5486400" cy="2109458"/>
            <wp:effectExtent l="0" t="0" r="19050" b="247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End w:id="30"/>
    </w:p>
    <w:p w14:paraId="2C9FCBF7" w14:textId="4A8866AA" w:rsidR="000E016C" w:rsidRDefault="000E016C" w:rsidP="00875F7E">
      <w:pPr>
        <w:pStyle w:val="Caption"/>
      </w:pPr>
      <w:bookmarkStart w:id="31" w:name="_Ref526752634"/>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16</w:t>
      </w:r>
      <w:r w:rsidR="00F01BC2">
        <w:rPr>
          <w:noProof/>
        </w:rPr>
        <w:fldChar w:fldCharType="end"/>
      </w:r>
      <w:bookmarkEnd w:id="31"/>
      <w:r>
        <w:t xml:space="preserve">: </w:t>
      </w:r>
      <w:r w:rsidRPr="00A37C30">
        <w:t xml:space="preserve">People </w:t>
      </w:r>
      <w:r w:rsidR="00EE70FF">
        <w:t>at risk of</w:t>
      </w:r>
      <w:r w:rsidRPr="00A37C30">
        <w:t xml:space="preserve"> poverty </w:t>
      </w:r>
      <w:r w:rsidR="00EE70FF">
        <w:t>or social</w:t>
      </w:r>
      <w:r w:rsidRPr="00A37C30">
        <w:t xml:space="preserve"> exclusion</w:t>
      </w:r>
      <w:r w:rsidR="00EE70FF">
        <w:t>,</w:t>
      </w:r>
      <w:r w:rsidRPr="00A37C30">
        <w:t xml:space="preserve"> by </w:t>
      </w:r>
      <w:r w:rsidR="0056052E">
        <w:t xml:space="preserve">disability and </w:t>
      </w:r>
      <w:r>
        <w:t xml:space="preserve">gender </w:t>
      </w:r>
      <w:r w:rsidRPr="00A37C30">
        <w:t>(aged 16</w:t>
      </w:r>
      <w:r>
        <w:t>+</w:t>
      </w:r>
      <w:r w:rsidRPr="00A37C30">
        <w:t>)</w:t>
      </w:r>
    </w:p>
    <w:p w14:paraId="739969EF" w14:textId="77777777" w:rsidR="002F4E40" w:rsidRDefault="002F4E40" w:rsidP="00875F7E">
      <w:r>
        <w:rPr>
          <w:noProof/>
          <w:lang w:eastAsia="zh-CN"/>
        </w:rPr>
        <w:drawing>
          <wp:inline distT="0" distB="0" distL="0" distR="0" wp14:anchorId="5F81F02E" wp14:editId="16E80661">
            <wp:extent cx="5486400" cy="1774479"/>
            <wp:effectExtent l="0" t="0" r="19050" b="165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D4F933" w14:textId="6DD7615F" w:rsidR="002A6F1E" w:rsidRDefault="002A6F1E" w:rsidP="00875F7E">
      <w:pPr>
        <w:pStyle w:val="Caption"/>
      </w:pPr>
      <w:bookmarkStart w:id="32" w:name="_Ref526752644"/>
      <w:r>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17</w:t>
      </w:r>
      <w:r w:rsidR="00F01BC2">
        <w:rPr>
          <w:noProof/>
        </w:rPr>
        <w:fldChar w:fldCharType="end"/>
      </w:r>
      <w:bookmarkEnd w:id="32"/>
      <w:r>
        <w:t>: Overall</w:t>
      </w:r>
      <w:r w:rsidR="003B422F">
        <w:t xml:space="preserve"> risk of</w:t>
      </w:r>
      <w:r w:rsidRPr="00C679CD">
        <w:t xml:space="preserve"> household poverty </w:t>
      </w:r>
      <w:r w:rsidR="00722DE1">
        <w:t xml:space="preserve">or exclusion </w:t>
      </w:r>
      <w:r w:rsidR="003B422F">
        <w:t xml:space="preserve">by </w:t>
      </w:r>
      <w:r w:rsidR="0056052E">
        <w:t>disability and</w:t>
      </w:r>
      <w:r w:rsidR="000E016C">
        <w:t xml:space="preserve"> age </w:t>
      </w:r>
      <w:r w:rsidRPr="00C679CD">
        <w:t>(</w:t>
      </w:r>
      <w:r w:rsidR="00CE5537">
        <w:t>aged 16+</w:t>
      </w:r>
      <w:r w:rsidRPr="00C679CD">
        <w:t>)</w:t>
      </w:r>
    </w:p>
    <w:p w14:paraId="4C9936CF" w14:textId="77777777" w:rsidR="002F4E40" w:rsidRDefault="002F4E40" w:rsidP="00875F7E">
      <w:r>
        <w:rPr>
          <w:noProof/>
          <w:lang w:eastAsia="zh-CN"/>
        </w:rPr>
        <w:drawing>
          <wp:inline distT="0" distB="0" distL="0" distR="0" wp14:anchorId="2CD886B5" wp14:editId="09B489A0">
            <wp:extent cx="5486400" cy="1964602"/>
            <wp:effectExtent l="0" t="0" r="19050" b="171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F9E759F" w14:textId="77777777" w:rsidR="001851FF" w:rsidRDefault="001851FF" w:rsidP="0030171B">
      <w:pPr>
        <w:pStyle w:val="Sourcereference"/>
        <w:rPr>
          <w:lang w:eastAsia="en-GB"/>
        </w:rPr>
      </w:pPr>
      <w:r w:rsidRPr="00E024C9">
        <w:t xml:space="preserve">Source: </w:t>
      </w:r>
      <w:r w:rsidRPr="00E024C9">
        <w:rPr>
          <w:lang w:eastAsia="en-GB"/>
        </w:rPr>
        <w:t xml:space="preserve">EUSILC UDB </w:t>
      </w:r>
      <w:r>
        <w:rPr>
          <w:lang w:eastAsia="en-GB"/>
        </w:rPr>
        <w:t>2015</w:t>
      </w:r>
      <w:r w:rsidRPr="00E024C9">
        <w:rPr>
          <w:lang w:eastAsia="en-GB"/>
        </w:rPr>
        <w:t xml:space="preserve"> – version </w:t>
      </w:r>
      <w:r>
        <w:rPr>
          <w:lang w:eastAsia="en-GB"/>
        </w:rPr>
        <w:t>of October 2017</w:t>
      </w:r>
      <w:r w:rsidRPr="00E024C9">
        <w:rPr>
          <w:lang w:eastAsia="en-GB"/>
        </w:rPr>
        <w:t xml:space="preserve"> (and previous UDB)</w:t>
      </w:r>
    </w:p>
    <w:p w14:paraId="04290BBD" w14:textId="7ABF5CA3" w:rsidR="00755A21" w:rsidRDefault="00755A21" w:rsidP="0030171B">
      <w:pPr>
        <w:pStyle w:val="Caption"/>
        <w:keepNext/>
      </w:pPr>
      <w:bookmarkStart w:id="33" w:name="_Ref526752815"/>
      <w:r>
        <w:lastRenderedPageBreak/>
        <w:t xml:space="preserve">Table </w:t>
      </w:r>
      <w:r w:rsidR="00F01BC2">
        <w:rPr>
          <w:noProof/>
        </w:rPr>
        <w:fldChar w:fldCharType="begin"/>
      </w:r>
      <w:r w:rsidR="00F01BC2">
        <w:rPr>
          <w:noProof/>
        </w:rPr>
        <w:instrText xml:space="preserve"> SEQ Table \* ARABIC </w:instrText>
      </w:r>
      <w:r w:rsidR="00F01BC2">
        <w:rPr>
          <w:noProof/>
        </w:rPr>
        <w:fldChar w:fldCharType="separate"/>
      </w:r>
      <w:r w:rsidR="00B25DFD">
        <w:rPr>
          <w:noProof/>
        </w:rPr>
        <w:t>18</w:t>
      </w:r>
      <w:r w:rsidR="00F01BC2">
        <w:rPr>
          <w:noProof/>
        </w:rPr>
        <w:fldChar w:fldCharType="end"/>
      </w:r>
      <w:bookmarkEnd w:id="33"/>
      <w:r>
        <w:t xml:space="preserve">: </w:t>
      </w:r>
      <w:r w:rsidR="00722DE1">
        <w:t>T</w:t>
      </w:r>
      <w:r w:rsidR="0010423F">
        <w:t>rend</w:t>
      </w:r>
      <w:r w:rsidR="0056052E">
        <w:t>s</w:t>
      </w:r>
      <w:r w:rsidR="0010423F">
        <w:t xml:space="preserve"> in household risk of poverty </w:t>
      </w:r>
      <w:r w:rsidR="00EE70FF">
        <w:t>or social</w:t>
      </w:r>
      <w:r w:rsidR="0010423F">
        <w:t xml:space="preserve"> exclusion</w:t>
      </w:r>
      <w:r w:rsidR="00EE70FF">
        <w:t>,</w:t>
      </w:r>
      <w:r w:rsidRPr="00755A21">
        <w:t xml:space="preserve"> </w:t>
      </w:r>
      <w:r w:rsidR="00722DE1">
        <w:t xml:space="preserve">by </w:t>
      </w:r>
      <w:r w:rsidR="0056052E">
        <w:t xml:space="preserve">disability and </w:t>
      </w:r>
      <w:r w:rsidR="00EE70FF">
        <w:t>age group</w:t>
      </w:r>
    </w:p>
    <w:p w14:paraId="65A01BA2" w14:textId="77777777" w:rsidR="002F4E40" w:rsidRDefault="002F4E40" w:rsidP="004A4026">
      <w:r>
        <w:rPr>
          <w:noProof/>
          <w:lang w:eastAsia="zh-CN"/>
        </w:rPr>
        <w:drawing>
          <wp:inline distT="0" distB="0" distL="0" distR="0" wp14:anchorId="20D9AA84" wp14:editId="596F3E67">
            <wp:extent cx="5486400" cy="3865830"/>
            <wp:effectExtent l="0" t="0" r="19050" b="209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A51027F" w14:textId="77777777" w:rsidR="002F4E40" w:rsidRDefault="002F4E40" w:rsidP="00FD5457">
      <w:pPr>
        <w:pStyle w:val="Sourcereference"/>
        <w:spacing w:after="0"/>
        <w:jc w:val="both"/>
        <w:rPr>
          <w:lang w:eastAsia="en-GB"/>
        </w:rPr>
      </w:pPr>
      <w:r w:rsidRPr="00E024C9">
        <w:t xml:space="preserve">Source: </w:t>
      </w:r>
      <w:r>
        <w:rPr>
          <w:lang w:eastAsia="en-GB"/>
        </w:rPr>
        <w:t>EU-SILC UDB 2016 – version of March 2018</w:t>
      </w:r>
      <w:r w:rsidRPr="00E024C9">
        <w:rPr>
          <w:lang w:eastAsia="en-GB"/>
        </w:rPr>
        <w:t xml:space="preserve"> (and previous UDB)</w:t>
      </w:r>
    </w:p>
    <w:p w14:paraId="2721C094" w14:textId="5153F513" w:rsidR="001F6793" w:rsidRDefault="001F6793" w:rsidP="00FD5457">
      <w:pPr>
        <w:pStyle w:val="Sourcereference"/>
        <w:spacing w:after="0"/>
        <w:jc w:val="both"/>
        <w:rPr>
          <w:lang w:eastAsia="en-GB"/>
        </w:rPr>
      </w:pPr>
      <w:r>
        <w:rPr>
          <w:lang w:eastAsia="en-GB"/>
        </w:rPr>
        <w:t xml:space="preserve">Note: </w:t>
      </w:r>
      <w:r w:rsidRPr="001F6793">
        <w:rPr>
          <w:lang w:eastAsia="en-GB"/>
        </w:rPr>
        <w:t>The risks for older people do not include work intensity (Eurostat refers to the age group 0-59 for this measure) and the survey does not distinguish ‘activity limitation’ (the proxy for impairment/disability) for children under the age of 16.</w:t>
      </w:r>
    </w:p>
    <w:p w14:paraId="1CEDCD98" w14:textId="77777777" w:rsidR="00FD5457" w:rsidRPr="00FD5457" w:rsidRDefault="00FD5457" w:rsidP="00FD5457">
      <w:pPr>
        <w:pStyle w:val="Sourcereference"/>
        <w:spacing w:after="0"/>
        <w:jc w:val="both"/>
        <w:rPr>
          <w:i w:val="0"/>
          <w:sz w:val="24"/>
          <w:lang w:eastAsia="en-GB"/>
        </w:rPr>
      </w:pPr>
    </w:p>
    <w:p w14:paraId="16F140C3" w14:textId="5CCE3A70" w:rsidR="001851FF" w:rsidRDefault="001851FF" w:rsidP="00FD5457">
      <w:pPr>
        <w:pStyle w:val="Heading3"/>
        <w:jc w:val="both"/>
      </w:pPr>
      <w:bookmarkStart w:id="34" w:name="_Toc528662161"/>
      <w:r>
        <w:t>Alternative sources of national disability poverty data</w:t>
      </w:r>
      <w:bookmarkEnd w:id="34"/>
    </w:p>
    <w:p w14:paraId="0DEF71D5" w14:textId="77777777" w:rsidR="00F01BC2" w:rsidRDefault="00F01BC2" w:rsidP="00FD5457">
      <w:pPr>
        <w:pStyle w:val="Un-numberedsubheading"/>
        <w:spacing w:after="0"/>
        <w:jc w:val="both"/>
        <w:rPr>
          <w:b w:val="0"/>
          <w:bCs/>
        </w:rPr>
      </w:pPr>
    </w:p>
    <w:p w14:paraId="6EA4B08E" w14:textId="35EEA928" w:rsidR="001851FF" w:rsidRDefault="001851FF" w:rsidP="00FD5457">
      <w:pPr>
        <w:pStyle w:val="Un-numberedsubheading"/>
        <w:spacing w:after="0"/>
        <w:jc w:val="both"/>
        <w:rPr>
          <w:b w:val="0"/>
          <w:bCs/>
        </w:rPr>
      </w:pPr>
      <w:r>
        <w:rPr>
          <w:b w:val="0"/>
          <w:bCs/>
        </w:rPr>
        <w:t>I</w:t>
      </w:r>
      <w:r w:rsidR="00F01BC2">
        <w:rPr>
          <w:b w:val="0"/>
          <w:bCs/>
        </w:rPr>
        <w:t>n</w:t>
      </w:r>
      <w:r>
        <w:rPr>
          <w:b w:val="0"/>
          <w:bCs/>
        </w:rPr>
        <w:t xml:space="preserve"> general, the </w:t>
      </w:r>
      <w:r w:rsidRPr="001851FF">
        <w:rPr>
          <w:b w:val="0"/>
          <w:bCs/>
        </w:rPr>
        <w:t xml:space="preserve">EU-SILC </w:t>
      </w:r>
      <w:r>
        <w:rPr>
          <w:b w:val="0"/>
          <w:bCs/>
        </w:rPr>
        <w:t>data provides the most comprehensive and reliable source concerning poverty or social exclusion rates in the Member States. However, national disability surveys or studies may offer additional information.</w:t>
      </w:r>
    </w:p>
    <w:p w14:paraId="1EC2380A" w14:textId="3A49BC0A" w:rsidR="0078310B" w:rsidRPr="0078310B" w:rsidRDefault="0078310B">
      <w:pPr>
        <w:pStyle w:val="Un-numberedsubheading"/>
        <w:spacing w:after="0"/>
        <w:rPr>
          <w:bCs/>
        </w:rPr>
      </w:pPr>
    </w:p>
    <w:sectPr w:rsidR="0078310B" w:rsidRPr="0078310B" w:rsidSect="00694F9D">
      <w:headerReference w:type="default" r:id="rId29"/>
      <w:footerReference w:type="default" r:id="rId30"/>
      <w:pgSz w:w="11906" w:h="16838"/>
      <w:pgMar w:top="1985"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CD26" w14:textId="77777777" w:rsidR="00E75C0F" w:rsidRDefault="00E75C0F" w:rsidP="00AF323E">
      <w:r>
        <w:separator/>
      </w:r>
    </w:p>
  </w:endnote>
  <w:endnote w:type="continuationSeparator" w:id="0">
    <w:p w14:paraId="2907DF7C" w14:textId="77777777" w:rsidR="00E75C0F" w:rsidRDefault="00E75C0F"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axlinePro-Medium">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902"/>
      <w:docPartObj>
        <w:docPartGallery w:val="Page Numbers (Bottom of Page)"/>
        <w:docPartUnique/>
      </w:docPartObj>
    </w:sdtPr>
    <w:sdtEndPr>
      <w:rPr>
        <w:noProof/>
      </w:rPr>
    </w:sdtEndPr>
    <w:sdtContent>
      <w:p w14:paraId="1C58CBB5" w14:textId="670C03A7" w:rsidR="00E75C0F" w:rsidRDefault="00E75C0F" w:rsidP="00694F9D">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CCB81" w14:textId="77777777" w:rsidR="00E75C0F" w:rsidRDefault="00E75C0F" w:rsidP="00AF323E">
      <w:r>
        <w:separator/>
      </w:r>
    </w:p>
  </w:footnote>
  <w:footnote w:type="continuationSeparator" w:id="0">
    <w:p w14:paraId="04C81D24" w14:textId="77777777" w:rsidR="00E75C0F" w:rsidRDefault="00E75C0F" w:rsidP="00AF323E">
      <w:r>
        <w:continuationSeparator/>
      </w:r>
    </w:p>
  </w:footnote>
  <w:footnote w:id="1">
    <w:p w14:paraId="32AF44D2" w14:textId="6435965E" w:rsidR="00E75C0F" w:rsidRPr="00952BA4" w:rsidRDefault="00E75C0F" w:rsidP="00533013">
      <w:pPr>
        <w:pStyle w:val="FootnoteText"/>
        <w:ind w:left="284" w:hanging="284"/>
      </w:pPr>
      <w:r w:rsidRPr="00952BA4">
        <w:rPr>
          <w:rStyle w:val="FootnoteReference"/>
        </w:rPr>
        <w:footnoteRef/>
      </w:r>
      <w:r w:rsidRPr="00952BA4">
        <w:t xml:space="preserve"> </w:t>
      </w:r>
      <w:r w:rsidRPr="00952BA4">
        <w:tab/>
      </w:r>
      <w:hyperlink r:id="rId1" w:history="1">
        <w:r w:rsidRPr="00952BA4">
          <w:rPr>
            <w:rStyle w:val="Hyperlink"/>
          </w:rPr>
          <w:t>http://ec.europa.eu/eurostat/documents/4411192/4411431/Europe_2020_Targets.pdf</w:t>
        </w:r>
      </w:hyperlink>
      <w:r w:rsidRPr="00952BA4">
        <w:rPr>
          <w:rStyle w:val="Hyperlink"/>
        </w:rPr>
        <w:t>.</w:t>
      </w:r>
      <w:r w:rsidRPr="00952BA4">
        <w:t xml:space="preserve"> </w:t>
      </w:r>
      <w:r w:rsidRPr="00952BA4">
        <w:rPr>
          <w:rStyle w:val="Hyperlink"/>
        </w:rPr>
        <w:t xml:space="preserve"> </w:t>
      </w:r>
    </w:p>
  </w:footnote>
  <w:footnote w:id="2">
    <w:p w14:paraId="27178B69" w14:textId="1F2832E7" w:rsidR="00E75C0F" w:rsidRPr="00952BA4" w:rsidRDefault="00E75C0F" w:rsidP="00533013">
      <w:pPr>
        <w:pStyle w:val="FootnoteText"/>
        <w:ind w:left="284" w:hanging="284"/>
      </w:pPr>
      <w:r w:rsidRPr="00952BA4">
        <w:rPr>
          <w:rStyle w:val="FootnoteReference"/>
        </w:rPr>
        <w:footnoteRef/>
      </w:r>
      <w:r w:rsidRPr="00952BA4">
        <w:t xml:space="preserve"> </w:t>
      </w:r>
      <w:r w:rsidRPr="00952BA4">
        <w:tab/>
        <w:t xml:space="preserve">Further explanation and analysis of the comparative data and methodology is included in ANED’s annual statistical reports relevant to the EU2020 goals, available at </w:t>
      </w:r>
      <w:hyperlink r:id="rId2" w:history="1">
        <w:r w:rsidRPr="00952BA4">
          <w:rPr>
            <w:rStyle w:val="Hyperlink"/>
          </w:rPr>
          <w:t>http://www.disability-europe.net/theme/statistical-indicators</w:t>
        </w:r>
      </w:hyperlink>
      <w:r w:rsidRPr="00952BA4">
        <w:rPr>
          <w:rStyle w:val="Hyperlink"/>
          <w:u w:val="none"/>
        </w:rPr>
        <w:t>.</w:t>
      </w:r>
      <w:r w:rsidRPr="00952BA4">
        <w:t xml:space="preserve"> </w:t>
      </w:r>
    </w:p>
  </w:footnote>
  <w:footnote w:id="3">
    <w:p w14:paraId="3835FE5F" w14:textId="73612CA2" w:rsidR="00E75C0F" w:rsidRPr="00952BA4" w:rsidRDefault="00E75C0F" w:rsidP="00533013">
      <w:pPr>
        <w:pStyle w:val="FootnoteText"/>
        <w:ind w:left="284" w:hanging="284"/>
      </w:pPr>
      <w:r w:rsidRPr="00952BA4">
        <w:rPr>
          <w:rStyle w:val="FootnoteReference"/>
        </w:rPr>
        <w:footnoteRef/>
      </w:r>
      <w:r w:rsidR="00533013" w:rsidRPr="00952BA4">
        <w:rPr>
          <w:rStyle w:val="Hyperlink"/>
          <w:u w:val="none"/>
        </w:rPr>
        <w:tab/>
      </w:r>
      <w:hyperlink r:id="rId3" w:history="1">
        <w:r w:rsidR="00533013" w:rsidRPr="00952BA4">
          <w:rPr>
            <w:rStyle w:val="Hyperlink"/>
          </w:rPr>
          <w:t>https://www.vlada.cz/assets/ppov/vvzpo/dokumenty/Narodni-plan-OZP-2015-2020-revize-2018_2.docx</w:t>
        </w:r>
      </w:hyperlink>
      <w:r w:rsidR="00533013" w:rsidRPr="00952BA4">
        <w:rPr>
          <w:rStyle w:val="Hyperlink"/>
          <w:u w:val="none"/>
        </w:rPr>
        <w:t>.</w:t>
      </w:r>
      <w:r w:rsidRPr="00952BA4">
        <w:t xml:space="preserve"> </w:t>
      </w:r>
      <w:hyperlink w:history="1"/>
    </w:p>
  </w:footnote>
  <w:footnote w:id="4">
    <w:p w14:paraId="08D28DBA" w14:textId="71FA4573"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hyperlink r:id="rId4" w:history="1">
        <w:r w:rsidR="00533013" w:rsidRPr="00952BA4">
          <w:rPr>
            <w:rStyle w:val="Hyperlink"/>
          </w:rPr>
          <w:t>https://www.czso.cz/csu/czso/vyberove-setreni-zdravotne-postizenych-osob-2013-qacmwuvwsb</w:t>
        </w:r>
      </w:hyperlink>
      <w:r w:rsidR="00533013" w:rsidRPr="00952BA4">
        <w:rPr>
          <w:rStyle w:val="Hyperlink"/>
          <w:u w:val="none"/>
        </w:rPr>
        <w:t>.</w:t>
      </w:r>
      <w:r w:rsidRPr="00952BA4">
        <w:t xml:space="preserve"> </w:t>
      </w:r>
    </w:p>
  </w:footnote>
  <w:footnote w:id="5">
    <w:p w14:paraId="05C200AE" w14:textId="29473DB2" w:rsidR="00E75C0F" w:rsidRPr="00952BA4" w:rsidRDefault="00E75C0F" w:rsidP="00533013">
      <w:pPr>
        <w:pStyle w:val="FootnoteRM"/>
      </w:pPr>
      <w:r w:rsidRPr="00952BA4">
        <w:rPr>
          <w:rStyle w:val="FootnoteReference"/>
        </w:rPr>
        <w:footnoteRef/>
      </w:r>
      <w:r w:rsidRPr="00952BA4">
        <w:t xml:space="preserve"> </w:t>
      </w:r>
      <w:r w:rsidR="00533013" w:rsidRPr="00952BA4">
        <w:tab/>
      </w:r>
      <w:r w:rsidRPr="00952BA4">
        <w:rPr>
          <w:rStyle w:val="FootnoteRMChar"/>
        </w:rPr>
        <w:t xml:space="preserve">Ministry of Labour and Social Affairs (MoLSA), Social Inclusion Strategy (2014–2020) </w:t>
      </w:r>
      <w:hyperlink r:id="rId5" w:history="1">
        <w:r w:rsidRPr="00952BA4">
          <w:rPr>
            <w:rStyle w:val="Hyperlink"/>
          </w:rPr>
          <w:t>http://www.mpsv.cz/files/clanky/19478/Strategie_EN.pdf</w:t>
        </w:r>
      </w:hyperlink>
      <w:r w:rsidRPr="00952BA4">
        <w:t>.</w:t>
      </w:r>
    </w:p>
  </w:footnote>
  <w:footnote w:id="6">
    <w:p w14:paraId="2BBD4E0A" w14:textId="58D0CB1F"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r w:rsidRPr="00952BA4">
        <w:rPr>
          <w:rStyle w:val="FootnoteRMChar"/>
        </w:rPr>
        <w:t>Ministry of Labour and Social Affairs (MoLSA)</w:t>
      </w:r>
      <w:r w:rsidRPr="00952BA4">
        <w:t xml:space="preserve"> Národní strategie rozvoje sociálních služeb na období 2016–2025 (National Strategy for Development of Social Services) </w:t>
      </w:r>
      <w:hyperlink r:id="rId6" w:history="1">
        <w:r w:rsidRPr="00952BA4">
          <w:rPr>
            <w:rStyle w:val="Hyperlink"/>
          </w:rPr>
          <w:t>https://www.mpsv.cz/cs/29623</w:t>
        </w:r>
      </w:hyperlink>
      <w:r w:rsidR="00533013" w:rsidRPr="00952BA4">
        <w:rPr>
          <w:rStyle w:val="Hyperlink"/>
          <w:u w:val="none"/>
        </w:rPr>
        <w:t>.</w:t>
      </w:r>
      <w:r w:rsidRPr="00952BA4">
        <w:t xml:space="preserve"> </w:t>
      </w:r>
    </w:p>
  </w:footnote>
  <w:footnote w:id="7">
    <w:p w14:paraId="52996FBB" w14:textId="595D1965"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hyperlink r:id="rId7" w:history="1">
        <w:r w:rsidR="00533013" w:rsidRPr="00952BA4">
          <w:rPr>
            <w:rStyle w:val="Hyperlink"/>
          </w:rPr>
          <w:t>https://www.czso.cz/csu/czso/vyberove-setreni-zdravotne-postizenych-osob-2013-qacmwuvwsb</w:t>
        </w:r>
      </w:hyperlink>
      <w:r w:rsidR="00533013" w:rsidRPr="00952BA4">
        <w:rPr>
          <w:rStyle w:val="Hyperlink"/>
          <w:u w:val="none"/>
        </w:rPr>
        <w:t>.</w:t>
      </w:r>
      <w:r w:rsidRPr="00952BA4">
        <w:t xml:space="preserve"> </w:t>
      </w:r>
    </w:p>
  </w:footnote>
  <w:footnote w:id="8">
    <w:p w14:paraId="37E1CE16" w14:textId="0E61CF5F"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r w:rsidRPr="00952BA4">
        <w:t xml:space="preserve">Fisher at al. (2016). </w:t>
      </w:r>
      <w:r w:rsidRPr="00952BA4">
        <w:rPr>
          <w:i/>
        </w:rPr>
        <w:t>Aktuální stav pracovního trhu v ČR se zřetelem na uplatnění osob znevýhodněných na trhu práce</w:t>
      </w:r>
      <w:r w:rsidRPr="00952BA4">
        <w:t xml:space="preserve">. Vysoká škola ekonomická v Praze Fakulta informatiky a statistiky katedra ekonomické statistiky. </w:t>
      </w:r>
      <w:hyperlink r:id="rId8" w:history="1">
        <w:r w:rsidRPr="00952BA4">
          <w:rPr>
            <w:rStyle w:val="Hyperlink"/>
          </w:rPr>
          <w:t>https://ipodpora.odbory.info/soubory/dms/wysiwyg_uploads/013c67c033b59c8c/uploads/STUDIE_AKTUALNI_STAV_TRHU_PRACE_.pdf</w:t>
        </w:r>
      </w:hyperlink>
      <w:r w:rsidR="00533013" w:rsidRPr="00952BA4">
        <w:rPr>
          <w:rStyle w:val="Hyperlink"/>
          <w:u w:val="none"/>
        </w:rPr>
        <w:t>.</w:t>
      </w:r>
      <w:r w:rsidRPr="00952BA4">
        <w:t xml:space="preserve"> </w:t>
      </w:r>
    </w:p>
  </w:footnote>
  <w:footnote w:id="9">
    <w:p w14:paraId="1B7C7A5B" w14:textId="0BBB3FE5"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hyperlink r:id="rId9" w:history="1">
        <w:r w:rsidR="00533013" w:rsidRPr="00952BA4">
          <w:rPr>
            <w:rStyle w:val="Hyperlink"/>
          </w:rPr>
          <w:t>https://portal.mpsv.cz/sz/politikazamest/strateg_zam_2020/strategiepz2020.pdf</w:t>
        </w:r>
      </w:hyperlink>
      <w:r w:rsidR="00533013" w:rsidRPr="00952BA4">
        <w:rPr>
          <w:rStyle w:val="Hyperlink"/>
          <w:u w:val="none"/>
        </w:rPr>
        <w:t>.</w:t>
      </w:r>
      <w:r w:rsidRPr="00952BA4">
        <w:t xml:space="preserve"> </w:t>
      </w:r>
    </w:p>
  </w:footnote>
  <w:footnote w:id="10">
    <w:p w14:paraId="40E90159" w14:textId="298EF575"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hyperlink r:id="rId10" w:history="1">
        <w:r w:rsidR="00533013" w:rsidRPr="00952BA4">
          <w:rPr>
            <w:rStyle w:val="Hyperlink"/>
          </w:rPr>
          <w:t>http://www.nfozp.cz/download/Odborn--studie---OZP-na-trhu-pr-ce-v--R---ASO---final.pdf</w:t>
        </w:r>
      </w:hyperlink>
      <w:r w:rsidR="00533013" w:rsidRPr="00952BA4">
        <w:rPr>
          <w:rStyle w:val="Hyperlink"/>
          <w:u w:val="none"/>
        </w:rPr>
        <w:t>.</w:t>
      </w:r>
    </w:p>
  </w:footnote>
  <w:footnote w:id="11">
    <w:p w14:paraId="32835343" w14:textId="4A2284D2"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r w:rsidRPr="00952BA4">
        <w:rPr>
          <w:rStyle w:val="Hyperlink"/>
        </w:rPr>
        <w:t>ibid.</w:t>
      </w:r>
      <w:r w:rsidRPr="00952BA4">
        <w:t xml:space="preserve"> </w:t>
      </w:r>
    </w:p>
  </w:footnote>
  <w:footnote w:id="12">
    <w:p w14:paraId="0D9D0DF8" w14:textId="6C6B44FF" w:rsidR="00E75C0F" w:rsidRPr="00952BA4" w:rsidRDefault="00E75C0F" w:rsidP="00533013">
      <w:pPr>
        <w:pStyle w:val="FootnoteText"/>
        <w:ind w:left="284" w:hanging="284"/>
      </w:pPr>
      <w:r w:rsidRPr="00952BA4">
        <w:rPr>
          <w:rStyle w:val="FootnoteReference"/>
        </w:rPr>
        <w:footnoteRef/>
      </w:r>
      <w:r w:rsidRPr="00952BA4">
        <w:t xml:space="preserve">  </w:t>
      </w:r>
      <w:hyperlink r:id="rId11" w:history="1">
        <w:r w:rsidRPr="00952BA4">
          <w:rPr>
            <w:rStyle w:val="Hyperlink"/>
          </w:rPr>
          <w:t>https://www.vlada.cz/assets/ppov/vvzpo/dokumenty/Narodni-plan-OZP-2015-2020-revize-2017_1.pdf</w:t>
        </w:r>
      </w:hyperlink>
      <w:r w:rsidR="00533013" w:rsidRPr="00952BA4">
        <w:rPr>
          <w:rStyle w:val="Hyperlink"/>
          <w:u w:val="none"/>
        </w:rPr>
        <w:t>.</w:t>
      </w:r>
      <w:r w:rsidRPr="00952BA4">
        <w:t xml:space="preserve"> </w:t>
      </w:r>
    </w:p>
  </w:footnote>
  <w:footnote w:id="13">
    <w:p w14:paraId="76C4EA9F" w14:textId="6A42CD04"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hyperlink r:id="rId12" w:history="1">
        <w:r w:rsidR="00533013" w:rsidRPr="00952BA4">
          <w:rPr>
            <w:rStyle w:val="Hyperlink"/>
          </w:rPr>
          <w:t>https://portal.mpsv.cz/sz/politikazamest/strateg_zam_2020/strategiepz2020.pdf</w:t>
        </w:r>
      </w:hyperlink>
      <w:r w:rsidR="00533013" w:rsidRPr="00952BA4">
        <w:rPr>
          <w:rStyle w:val="Hyperlink"/>
          <w:u w:val="none"/>
        </w:rPr>
        <w:t>.</w:t>
      </w:r>
    </w:p>
  </w:footnote>
  <w:footnote w:id="14">
    <w:p w14:paraId="082AA3D3" w14:textId="1FBFFF54"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hyperlink r:id="rId13" w:history="1">
        <w:r w:rsidR="00533013" w:rsidRPr="00952BA4">
          <w:rPr>
            <w:rStyle w:val="Hyperlink"/>
          </w:rPr>
          <w:t>http://www.nrzp.cz/aktualne/informace-predsedy-nrzp-cr/1634-informace-c-100-2016-teze-koordinovane-rehabilitace.html</w:t>
        </w:r>
      </w:hyperlink>
      <w:r w:rsidR="00533013" w:rsidRPr="00952BA4">
        <w:rPr>
          <w:rStyle w:val="Hyperlink"/>
          <w:u w:val="none"/>
        </w:rPr>
        <w:t>.</w:t>
      </w:r>
      <w:r w:rsidRPr="00952BA4">
        <w:t xml:space="preserve"> </w:t>
      </w:r>
    </w:p>
  </w:footnote>
  <w:footnote w:id="15">
    <w:p w14:paraId="21213B25" w14:textId="635F2AFC" w:rsidR="00E75C0F" w:rsidRPr="00952BA4" w:rsidRDefault="00E75C0F" w:rsidP="00533013">
      <w:pPr>
        <w:pStyle w:val="FootnoteText"/>
        <w:ind w:left="284" w:hanging="284"/>
        <w:rPr>
          <w:u w:val="single"/>
        </w:rPr>
      </w:pPr>
      <w:r w:rsidRPr="00952BA4">
        <w:rPr>
          <w:rStyle w:val="FootnoteReference"/>
        </w:rPr>
        <w:footnoteRef/>
      </w:r>
      <w:r w:rsidRPr="00952BA4">
        <w:t xml:space="preserve"> </w:t>
      </w:r>
      <w:r w:rsidR="00533013" w:rsidRPr="00952BA4">
        <w:tab/>
      </w:r>
      <w:hyperlink r:id="rId14" w:history="1">
        <w:r w:rsidR="00533013" w:rsidRPr="00952BA4">
          <w:rPr>
            <w:rStyle w:val="Hyperlink"/>
          </w:rPr>
          <w:t>http://www.nrzp.cz/aktualne/informace-predsedy-nrzp-cr/1634-informace-c-100-2016-teze-koordinovane-rehabilitace.html</w:t>
        </w:r>
      </w:hyperlink>
      <w:r w:rsidR="00533013" w:rsidRPr="00952BA4">
        <w:rPr>
          <w:rStyle w:val="Hyperlink"/>
        </w:rPr>
        <w:t>.</w:t>
      </w:r>
    </w:p>
  </w:footnote>
  <w:footnote w:id="16">
    <w:p w14:paraId="1BB2E7DD" w14:textId="5500E1B5" w:rsidR="00E75C0F" w:rsidRPr="00952BA4" w:rsidRDefault="00E75C0F" w:rsidP="00533013">
      <w:pPr>
        <w:pStyle w:val="FootnoteText"/>
        <w:ind w:left="284" w:hanging="284"/>
      </w:pPr>
      <w:r w:rsidRPr="00952BA4">
        <w:rPr>
          <w:rStyle w:val="FootnoteReference"/>
        </w:rPr>
        <w:footnoteRef/>
      </w:r>
      <w:r w:rsidRPr="00952BA4">
        <w:t xml:space="preserve"> </w:t>
      </w:r>
      <w:r w:rsidR="00533013" w:rsidRPr="00952BA4">
        <w:tab/>
      </w:r>
      <w:hyperlink r:id="rId15" w:history="1">
        <w:r w:rsidR="00533013" w:rsidRPr="00952BA4">
          <w:rPr>
            <w:rStyle w:val="Hyperlink"/>
          </w:rPr>
          <w:t>http://www.nfozp.cz/download/Odborn--studie---OZP-na-trhu-pr-ce-v--R---ASO---final.pdf</w:t>
        </w:r>
      </w:hyperlink>
      <w:r w:rsidR="00533013" w:rsidRPr="00952BA4">
        <w:rPr>
          <w:rStyle w:val="Hyperlink"/>
          <w:u w:val="none"/>
        </w:rPr>
        <w:t>.</w:t>
      </w:r>
    </w:p>
  </w:footnote>
  <w:footnote w:id="17">
    <w:p w14:paraId="3E78C9F6" w14:textId="6DAEF2E1" w:rsidR="00E75C0F" w:rsidRPr="00952BA4" w:rsidRDefault="00E75C0F" w:rsidP="00533013">
      <w:pPr>
        <w:pStyle w:val="FootnoteText"/>
        <w:ind w:left="284" w:hanging="284"/>
      </w:pPr>
      <w:r w:rsidRPr="00952BA4">
        <w:rPr>
          <w:rStyle w:val="FootnoteReference"/>
        </w:rPr>
        <w:footnoteRef/>
      </w:r>
      <w:r w:rsidR="00533013" w:rsidRPr="00952BA4">
        <w:tab/>
      </w:r>
      <w:hyperlink r:id="rId16" w:history="1">
        <w:r w:rsidR="00533013" w:rsidRPr="00952BA4">
          <w:rPr>
            <w:rStyle w:val="Hyperlink"/>
          </w:rPr>
          <w:t>http://www.vupsv.cz/index.php?p=evaluation_of_aep&amp;site=default</w:t>
        </w:r>
      </w:hyperlink>
      <w:r w:rsidR="00533013" w:rsidRPr="00952BA4">
        <w:t xml:space="preserve">. </w:t>
      </w:r>
    </w:p>
  </w:footnote>
  <w:footnote w:id="18">
    <w:p w14:paraId="4B54FE75" w14:textId="29469697" w:rsidR="00E75C0F" w:rsidRPr="00952BA4" w:rsidRDefault="00E75C0F" w:rsidP="00533013">
      <w:pPr>
        <w:pStyle w:val="FootnoteText"/>
        <w:ind w:left="284" w:hanging="284"/>
      </w:pPr>
      <w:r w:rsidRPr="00952BA4">
        <w:rPr>
          <w:rStyle w:val="FootnoteReference"/>
        </w:rPr>
        <w:footnoteRef/>
      </w:r>
      <w:r w:rsidRPr="00952BA4">
        <w:t xml:space="preserve"> </w:t>
      </w:r>
      <w:r w:rsidR="00200D1A" w:rsidRPr="00952BA4">
        <w:tab/>
      </w:r>
      <w:hyperlink r:id="rId17" w:history="1">
        <w:r w:rsidR="00200D1A" w:rsidRPr="00952BA4">
          <w:rPr>
            <w:rStyle w:val="Hyperlink"/>
          </w:rPr>
          <w:t>https://www.vlada.cz/assets/ppov/vvzpo/dokumenty/Narodni-plan-OZP-2015-2020-revize-2017_1.pdf</w:t>
        </w:r>
      </w:hyperlink>
      <w:r w:rsidR="00200D1A" w:rsidRPr="00952BA4">
        <w:rPr>
          <w:rStyle w:val="Hyperlink"/>
          <w:u w:val="none"/>
        </w:rPr>
        <w:t>.</w:t>
      </w:r>
    </w:p>
  </w:footnote>
  <w:footnote w:id="19">
    <w:p w14:paraId="4361BFDB" w14:textId="0C1F5683" w:rsidR="00E75C0F" w:rsidRPr="00952BA4" w:rsidRDefault="00E75C0F" w:rsidP="00533013">
      <w:pPr>
        <w:pStyle w:val="FootnoteText"/>
        <w:ind w:left="284" w:hanging="284"/>
      </w:pPr>
      <w:r w:rsidRPr="00952BA4">
        <w:rPr>
          <w:rStyle w:val="FootnoteReference"/>
        </w:rPr>
        <w:footnoteRef/>
      </w:r>
      <w:r w:rsidRPr="00952BA4">
        <w:t xml:space="preserve"> </w:t>
      </w:r>
      <w:r w:rsidR="00200D1A" w:rsidRPr="00952BA4">
        <w:tab/>
      </w:r>
      <w:hyperlink r:id="rId18" w:history="1">
        <w:r w:rsidR="00200D1A" w:rsidRPr="00952BA4">
          <w:rPr>
            <w:rStyle w:val="Hyperlink"/>
          </w:rPr>
          <w:t>http://www.msmt.cz/dokumenty-3/skolsky-zakon</w:t>
        </w:r>
      </w:hyperlink>
      <w:r w:rsidR="00200D1A" w:rsidRPr="00952BA4">
        <w:rPr>
          <w:rStyle w:val="Hyperlink"/>
          <w:u w:val="none"/>
        </w:rPr>
        <w:t>.</w:t>
      </w:r>
      <w:r w:rsidRPr="00952BA4">
        <w:t xml:space="preserve"> </w:t>
      </w:r>
    </w:p>
  </w:footnote>
  <w:footnote w:id="20">
    <w:p w14:paraId="29A0CAFE" w14:textId="1D2AC048" w:rsidR="00E75C0F" w:rsidRPr="00952BA4" w:rsidRDefault="00E75C0F" w:rsidP="00533013">
      <w:pPr>
        <w:pStyle w:val="FootnoteText"/>
        <w:ind w:left="284" w:hanging="284"/>
      </w:pPr>
      <w:r w:rsidRPr="00952BA4">
        <w:rPr>
          <w:rStyle w:val="FootnoteReference"/>
        </w:rPr>
        <w:footnoteRef/>
      </w:r>
      <w:r w:rsidRPr="00952BA4">
        <w:t xml:space="preserve"> </w:t>
      </w:r>
      <w:r w:rsidR="00200D1A" w:rsidRPr="00952BA4">
        <w:tab/>
      </w:r>
      <w:hyperlink r:id="rId19" w:history="1">
        <w:r w:rsidR="00200D1A" w:rsidRPr="00952BA4">
          <w:rPr>
            <w:rStyle w:val="Hyperlink"/>
          </w:rPr>
          <w:t>https://www.vlada.cz/assets/ppov/vvzpo/dokumenty/Narodni-plan-OZP-2015-2020-revize-2017_1.pdf</w:t>
        </w:r>
      </w:hyperlink>
      <w:r w:rsidR="00200D1A" w:rsidRPr="00952BA4">
        <w:rPr>
          <w:rStyle w:val="Hyperlink"/>
          <w:u w:val="none"/>
        </w:rPr>
        <w:t>.</w:t>
      </w:r>
    </w:p>
  </w:footnote>
  <w:footnote w:id="21">
    <w:p w14:paraId="3D88B304" w14:textId="423C44DE" w:rsidR="00E75C0F" w:rsidRPr="00952BA4" w:rsidRDefault="00E75C0F" w:rsidP="00533013">
      <w:pPr>
        <w:pStyle w:val="FootnoteText"/>
        <w:ind w:left="284" w:hanging="284"/>
      </w:pPr>
      <w:r w:rsidRPr="00952BA4">
        <w:rPr>
          <w:rStyle w:val="FootnoteReference"/>
        </w:rPr>
        <w:footnoteRef/>
      </w:r>
      <w:r w:rsidRPr="00952BA4">
        <w:t xml:space="preserve"> </w:t>
      </w:r>
      <w:r w:rsidR="00200D1A" w:rsidRPr="00952BA4">
        <w:tab/>
      </w:r>
      <w:r w:rsidRPr="00952BA4">
        <w:t>Novelizace zákona č. 561/2004 Sb., o předškolním, základním, středním, vyšším odborném a jiném vzdělávání (školský zákon) a vyhlášky č. 14/2005 Sb., o předškolním vzdělávání</w:t>
      </w:r>
      <w:r w:rsidR="00200D1A" w:rsidRPr="00952BA4">
        <w:t>.</w:t>
      </w:r>
      <w:r w:rsidRPr="00952BA4">
        <w:t xml:space="preserve">  </w:t>
      </w:r>
    </w:p>
  </w:footnote>
  <w:footnote w:id="22">
    <w:p w14:paraId="73E09AB0" w14:textId="77777777" w:rsidR="00E75C0F" w:rsidRPr="00952BA4" w:rsidRDefault="00E75C0F" w:rsidP="00533013">
      <w:pPr>
        <w:pStyle w:val="FootnoteRM"/>
      </w:pPr>
      <w:r w:rsidRPr="00952BA4">
        <w:rPr>
          <w:rStyle w:val="FootnoteReference"/>
        </w:rPr>
        <w:footnoteRef/>
      </w:r>
      <w:r w:rsidRPr="00952BA4">
        <w:t xml:space="preserve"> </w:t>
      </w:r>
      <w:r w:rsidRPr="00952BA4">
        <w:tab/>
        <w:t xml:space="preserve">Report for Year 2016 on Implementation of </w:t>
      </w:r>
      <w:r w:rsidRPr="00952BA4">
        <w:rPr>
          <w:color w:val="000000"/>
          <w:shd w:val="clear" w:color="auto" w:fill="FFFFFF"/>
        </w:rPr>
        <w:t xml:space="preserve">the </w:t>
      </w:r>
      <w:r w:rsidRPr="00952BA4">
        <w:t>National Plan for the Equalization of Opportunities for People with Disabilities 2015–2020.</w:t>
      </w:r>
    </w:p>
  </w:footnote>
  <w:footnote w:id="23">
    <w:p w14:paraId="4D77B725" w14:textId="3CA356D2" w:rsidR="00E75C0F" w:rsidRPr="00952BA4" w:rsidRDefault="00E75C0F" w:rsidP="00533013">
      <w:pPr>
        <w:pStyle w:val="FootnoteText"/>
        <w:ind w:left="284" w:hanging="284"/>
      </w:pPr>
      <w:r w:rsidRPr="00952BA4">
        <w:rPr>
          <w:rStyle w:val="FootnoteReference"/>
        </w:rPr>
        <w:footnoteRef/>
      </w:r>
      <w:r w:rsidRPr="00952BA4">
        <w:t xml:space="preserve"> </w:t>
      </w:r>
      <w:r w:rsidR="00952BA4" w:rsidRPr="00952BA4">
        <w:tab/>
      </w:r>
      <w:hyperlink r:id="rId20" w:history="1">
        <w:r w:rsidR="00952BA4" w:rsidRPr="00952BA4">
          <w:rPr>
            <w:rStyle w:val="Hyperlink"/>
          </w:rPr>
          <w:t>https://www.european-agency.org/data/czech-republic/datatable-overview</w:t>
        </w:r>
      </w:hyperlink>
      <w:r w:rsidR="00952BA4" w:rsidRPr="00952BA4">
        <w:rPr>
          <w:rStyle w:val="Hyperlink"/>
          <w:u w:val="none"/>
        </w:rPr>
        <w:t>.</w:t>
      </w:r>
      <w:r w:rsidRPr="00952BA4">
        <w:t xml:space="preserve"> </w:t>
      </w:r>
    </w:p>
  </w:footnote>
  <w:footnote w:id="24">
    <w:p w14:paraId="473968CA" w14:textId="4C964A0B" w:rsidR="00E75C0F" w:rsidRPr="00952BA4" w:rsidRDefault="00E75C0F" w:rsidP="00533013">
      <w:pPr>
        <w:pStyle w:val="FootnoteText"/>
        <w:ind w:left="284" w:hanging="284"/>
      </w:pPr>
      <w:r w:rsidRPr="00952BA4">
        <w:rPr>
          <w:rStyle w:val="FootnoteReference"/>
        </w:rPr>
        <w:footnoteRef/>
      </w:r>
      <w:r w:rsidRPr="00952BA4">
        <w:t xml:space="preserve"> </w:t>
      </w:r>
      <w:r w:rsidR="00952BA4" w:rsidRPr="00952BA4">
        <w:tab/>
      </w:r>
      <w:r w:rsidRPr="00952BA4">
        <w:t xml:space="preserve">Nadace OSF ČOSIV ČMOS PŠ. </w:t>
      </w:r>
      <w:r w:rsidRPr="00952BA4">
        <w:rPr>
          <w:i/>
        </w:rPr>
        <w:t>Rok poté – dopady reformy společného vzdělávání.</w:t>
      </w:r>
      <w:r w:rsidRPr="00952BA4">
        <w:t xml:space="preserve"> Praha, 2018. </w:t>
      </w:r>
    </w:p>
  </w:footnote>
  <w:footnote w:id="25">
    <w:p w14:paraId="182EB26D" w14:textId="1621A67E" w:rsidR="00E75C0F" w:rsidRPr="00952BA4" w:rsidRDefault="00E75C0F" w:rsidP="00533013">
      <w:pPr>
        <w:pStyle w:val="FootnoteText"/>
        <w:ind w:left="284" w:hanging="284"/>
      </w:pPr>
      <w:r w:rsidRPr="00952BA4">
        <w:rPr>
          <w:rStyle w:val="FootnoteReference"/>
        </w:rPr>
        <w:footnoteRef/>
      </w:r>
      <w:r w:rsidRPr="00952BA4">
        <w:t xml:space="preserve"> </w:t>
      </w:r>
      <w:r w:rsidR="00952BA4" w:rsidRPr="00952BA4">
        <w:tab/>
      </w:r>
      <w:r w:rsidRPr="00952BA4">
        <w:t>Draft Joint Employment Report from the Communion and from the Council, 2018</w:t>
      </w:r>
      <w:r w:rsidR="00952BA4" w:rsidRPr="00952BA4">
        <w:t>.</w:t>
      </w:r>
    </w:p>
  </w:footnote>
  <w:footnote w:id="26">
    <w:p w14:paraId="33B9B2BC" w14:textId="23FCDC5C" w:rsidR="00E75C0F" w:rsidRPr="00952BA4" w:rsidRDefault="00E75C0F" w:rsidP="00533013">
      <w:pPr>
        <w:pStyle w:val="FootnoteText"/>
        <w:ind w:left="284" w:hanging="284"/>
      </w:pPr>
      <w:r w:rsidRPr="00952BA4">
        <w:rPr>
          <w:rStyle w:val="FootnoteReference"/>
        </w:rPr>
        <w:footnoteRef/>
      </w:r>
      <w:r w:rsidRPr="00952BA4">
        <w:t xml:space="preserve"> </w:t>
      </w:r>
      <w:r w:rsidR="00952BA4" w:rsidRPr="00952BA4">
        <w:tab/>
      </w:r>
      <w:hyperlink r:id="rId21" w:history="1">
        <w:r w:rsidR="00952BA4" w:rsidRPr="00952BA4">
          <w:rPr>
            <w:rStyle w:val="Hyperlink"/>
          </w:rPr>
          <w:t>https://www.vlada.cz/cz/ppov/vvzpo/dokumenty/narodni-plan-podpory-rovnych-prilezitosti-pro-osoby-se-zdravotnim-postizenim-na-obdobi-2015-2020-130992/</w:t>
        </w:r>
      </w:hyperlink>
      <w:r w:rsidR="00952BA4" w:rsidRPr="00952BA4">
        <w:rPr>
          <w:rStyle w:val="Hyperlink"/>
          <w:u w:val="none"/>
        </w:rPr>
        <w:t>.</w:t>
      </w:r>
      <w:r w:rsidRPr="00952BA4">
        <w:t xml:space="preserve"> </w:t>
      </w:r>
    </w:p>
  </w:footnote>
  <w:footnote w:id="27">
    <w:p w14:paraId="3D8096AF" w14:textId="369E6BD2" w:rsidR="00E75C0F" w:rsidRPr="00952BA4" w:rsidRDefault="00E75C0F" w:rsidP="00533013">
      <w:pPr>
        <w:pStyle w:val="FootnoteText"/>
        <w:ind w:left="284" w:hanging="284"/>
      </w:pPr>
      <w:r w:rsidRPr="00952BA4">
        <w:rPr>
          <w:rStyle w:val="FootnoteReference"/>
        </w:rPr>
        <w:footnoteRef/>
      </w:r>
      <w:r w:rsidRPr="00952BA4">
        <w:t xml:space="preserve"> </w:t>
      </w:r>
      <w:r w:rsidR="00952BA4" w:rsidRPr="00952BA4">
        <w:tab/>
      </w:r>
      <w:hyperlink r:id="rId22" w:history="1">
        <w:r w:rsidR="00952BA4" w:rsidRPr="00952BA4">
          <w:rPr>
            <w:rStyle w:val="Hyperlink"/>
          </w:rPr>
          <w:t>http://www.pracepropravniky.cz/zakony/zakonik-prace-uplne-zneni</w:t>
        </w:r>
      </w:hyperlink>
      <w:r w:rsidR="00952BA4" w:rsidRPr="00952BA4">
        <w:rPr>
          <w:rStyle w:val="Hyperlink"/>
          <w:u w:val="none"/>
        </w:rPr>
        <w:t>.</w:t>
      </w:r>
      <w:r w:rsidRPr="00952BA4">
        <w:t xml:space="preserve"> </w:t>
      </w:r>
    </w:p>
  </w:footnote>
  <w:footnote w:id="28">
    <w:p w14:paraId="390067C9" w14:textId="769B2C2E" w:rsidR="00E75C0F" w:rsidRPr="00952BA4" w:rsidRDefault="00E75C0F" w:rsidP="00533013">
      <w:pPr>
        <w:pStyle w:val="FootnoteText"/>
        <w:ind w:left="284" w:hanging="284"/>
      </w:pPr>
      <w:r w:rsidRPr="00952BA4">
        <w:rPr>
          <w:rStyle w:val="FootnoteReference"/>
        </w:rPr>
        <w:footnoteRef/>
      </w:r>
      <w:r w:rsidRPr="00952BA4">
        <w:t xml:space="preserve"> </w:t>
      </w:r>
      <w:r w:rsidR="00952BA4" w:rsidRPr="00952BA4">
        <w:tab/>
      </w:r>
      <w:hyperlink r:id="rId23" w:history="1">
        <w:r w:rsidR="00952BA4" w:rsidRPr="00952BA4">
          <w:rPr>
            <w:rStyle w:val="Hyperlink"/>
            <w:rFonts w:eastAsia="Times New Roman"/>
            <w:kern w:val="36"/>
            <w:lang w:eastAsia="en-GB"/>
          </w:rPr>
          <w:t>https://www.zakonyprolidi.cz/cs/2009-359</w:t>
        </w:r>
      </w:hyperlink>
      <w:r w:rsidR="00952BA4" w:rsidRPr="00952BA4">
        <w:rPr>
          <w:rStyle w:val="Hyperlink"/>
          <w:rFonts w:eastAsia="Times New Roman"/>
          <w:kern w:val="36"/>
          <w:u w:val="none"/>
          <w:lang w:eastAsia="en-GB"/>
        </w:rPr>
        <w:t>.</w:t>
      </w:r>
    </w:p>
  </w:footnote>
  <w:footnote w:id="29">
    <w:p w14:paraId="57FB9431" w14:textId="39FAD932" w:rsidR="00E75C0F" w:rsidRPr="00952BA4" w:rsidRDefault="00E75C0F" w:rsidP="00533013">
      <w:pPr>
        <w:pStyle w:val="FootnoteText"/>
        <w:ind w:left="284" w:hanging="284"/>
      </w:pPr>
      <w:r w:rsidRPr="00952BA4">
        <w:rPr>
          <w:rStyle w:val="FootnoteReference"/>
        </w:rPr>
        <w:footnoteRef/>
      </w:r>
      <w:r w:rsidRPr="00952BA4">
        <w:t xml:space="preserve"> </w:t>
      </w:r>
      <w:r w:rsidR="00952BA4" w:rsidRPr="00952BA4">
        <w:tab/>
      </w:r>
      <w:r w:rsidRPr="00952BA4">
        <w:t xml:space="preserve">The Czech Disability Council. </w:t>
      </w:r>
      <w:r w:rsidRPr="00952BA4">
        <w:rPr>
          <w:i/>
        </w:rPr>
        <w:t xml:space="preserve">Open Letter to Minister of Labour and Social Affairs. February 16 2011. </w:t>
      </w:r>
      <w:hyperlink r:id="rId24" w:history="1">
        <w:r w:rsidRPr="00952BA4">
          <w:rPr>
            <w:rStyle w:val="Hyperlink"/>
          </w:rPr>
          <w:t>http://www.nrzp.cz/aktualne/informace-predsedy-nrzp-cr/430-otevreny-dopis-predsedy-nrzp-cr-vaclava-krasy-ministru-prace-a-socialnich-veci-cr.html</w:t>
        </w:r>
      </w:hyperlink>
      <w:r w:rsidR="00952BA4" w:rsidRPr="00952BA4">
        <w:rPr>
          <w:rStyle w:val="Hyperlink"/>
          <w:u w:val="none"/>
        </w:rPr>
        <w:t>.</w:t>
      </w:r>
      <w:r w:rsidRPr="00952BA4">
        <w:t xml:space="preserve"> </w:t>
      </w:r>
    </w:p>
  </w:footnote>
  <w:footnote w:id="30">
    <w:p w14:paraId="5CBF50A6" w14:textId="7CF42B48" w:rsidR="00E75C0F" w:rsidRPr="00952BA4" w:rsidRDefault="00E75C0F" w:rsidP="00533013">
      <w:pPr>
        <w:pStyle w:val="FootnoteText"/>
        <w:ind w:left="284" w:hanging="284"/>
      </w:pPr>
      <w:r w:rsidRPr="00952BA4">
        <w:rPr>
          <w:rStyle w:val="FootnoteReference"/>
        </w:rPr>
        <w:footnoteRef/>
      </w:r>
      <w:r w:rsidR="00952BA4" w:rsidRPr="00952BA4">
        <w:tab/>
      </w:r>
      <w:r w:rsidRPr="00952BA4">
        <w:t xml:space="preserve">Ombudsman (2016). </w:t>
      </w:r>
      <w:r w:rsidRPr="00952BA4">
        <w:rPr>
          <w:i/>
        </w:rPr>
        <w:t>Report 14.</w:t>
      </w:r>
    </w:p>
  </w:footnote>
  <w:footnote w:id="31">
    <w:p w14:paraId="0F362C2E" w14:textId="692A8A16" w:rsidR="00E75C0F" w:rsidRPr="00952BA4" w:rsidRDefault="00E75C0F" w:rsidP="00533013">
      <w:pPr>
        <w:pStyle w:val="FootnoteRM"/>
        <w:rPr>
          <w:vertAlign w:val="subscript"/>
        </w:rPr>
      </w:pPr>
      <w:r w:rsidRPr="00952BA4">
        <w:rPr>
          <w:rStyle w:val="FootnoteReference"/>
          <w:vertAlign w:val="subscript"/>
        </w:rPr>
        <w:footnoteRef/>
      </w:r>
      <w:r w:rsidRPr="00952BA4">
        <w:rPr>
          <w:vertAlign w:val="subscript"/>
        </w:rPr>
        <w:t xml:space="preserve"> </w:t>
      </w:r>
      <w:r w:rsidR="00952BA4" w:rsidRPr="00952BA4">
        <w:rPr>
          <w:vertAlign w:val="subscript"/>
        </w:rPr>
        <w:tab/>
      </w:r>
      <w:hyperlink r:id="rId25" w:history="1">
        <w:r w:rsidR="00952BA4" w:rsidRPr="00952BA4">
          <w:rPr>
            <w:rStyle w:val="Hyperlink"/>
          </w:rPr>
          <w:t>http://www.nrzp.cz/aktualne.html</w:t>
        </w:r>
      </w:hyperlink>
      <w:r w:rsidRPr="00952BA4">
        <w:rPr>
          <w:rStyle w:val="Hyperlink"/>
          <w:u w:val="none"/>
        </w:rPr>
        <w:t>.</w:t>
      </w:r>
    </w:p>
  </w:footnote>
  <w:footnote w:id="32">
    <w:p w14:paraId="63FF014F" w14:textId="5C2A8963" w:rsidR="00E75C0F" w:rsidRPr="00952BA4" w:rsidRDefault="00E75C0F" w:rsidP="00533013">
      <w:pPr>
        <w:pStyle w:val="FootnoteText"/>
        <w:ind w:left="284" w:hanging="284"/>
        <w:rPr>
          <w:i/>
        </w:rPr>
      </w:pPr>
      <w:r w:rsidRPr="00952BA4">
        <w:rPr>
          <w:rStyle w:val="FootnoteReference"/>
        </w:rPr>
        <w:footnoteRef/>
      </w:r>
      <w:r w:rsidRPr="00952BA4">
        <w:t xml:space="preserve"> </w:t>
      </w:r>
      <w:r w:rsidR="00952BA4" w:rsidRPr="00952BA4">
        <w:tab/>
      </w:r>
      <w:r w:rsidRPr="00952BA4">
        <w:t xml:space="preserve">Government Board for People with Disabilities. </w:t>
      </w:r>
      <w:r w:rsidRPr="00952BA4">
        <w:rPr>
          <w:i/>
        </w:rPr>
        <w:t>National Plan for the Promotion of Equal Opportunities for Persons with Disabilities 2015–2020 Approved by Resolution of the Government of the Czech Republic No. 385 of 25 May 2015</w:t>
      </w:r>
      <w:r w:rsidR="00952BA4">
        <w:rPr>
          <w:i/>
        </w:rPr>
        <w:t>.</w:t>
      </w:r>
    </w:p>
  </w:footnote>
  <w:footnote w:id="33">
    <w:p w14:paraId="23D768A7" w14:textId="463AE344" w:rsidR="00E75C0F" w:rsidRPr="00952BA4" w:rsidRDefault="00E75C0F" w:rsidP="00533013">
      <w:pPr>
        <w:pStyle w:val="Default"/>
        <w:ind w:left="284" w:hanging="284"/>
        <w:rPr>
          <w:rFonts w:ascii="Arial" w:hAnsi="Arial" w:cs="Arial"/>
          <w:sz w:val="20"/>
          <w:szCs w:val="20"/>
        </w:rPr>
      </w:pPr>
      <w:r w:rsidRPr="00952BA4">
        <w:rPr>
          <w:rStyle w:val="FootnoteReference"/>
          <w:rFonts w:ascii="Arial" w:hAnsi="Arial" w:cs="Arial"/>
          <w:sz w:val="20"/>
          <w:szCs w:val="20"/>
        </w:rPr>
        <w:footnoteRef/>
      </w:r>
      <w:r w:rsidRPr="00952BA4">
        <w:rPr>
          <w:rFonts w:ascii="Arial" w:hAnsi="Arial" w:cs="Arial"/>
          <w:sz w:val="20"/>
          <w:szCs w:val="20"/>
        </w:rPr>
        <w:t xml:space="preserve"> </w:t>
      </w:r>
      <w:r w:rsidR="00952BA4" w:rsidRPr="00952BA4">
        <w:rPr>
          <w:rFonts w:ascii="Arial" w:hAnsi="Arial" w:cs="Arial"/>
          <w:sz w:val="20"/>
          <w:szCs w:val="20"/>
        </w:rPr>
        <w:tab/>
      </w:r>
      <w:r w:rsidRPr="00952BA4">
        <w:rPr>
          <w:rFonts w:ascii="Arial" w:hAnsi="Arial" w:cs="Arial"/>
          <w:sz w:val="20"/>
          <w:szCs w:val="20"/>
        </w:rPr>
        <w:t xml:space="preserve">MoLSA (2017) </w:t>
      </w:r>
      <w:r w:rsidRPr="00952BA4">
        <w:rPr>
          <w:rFonts w:ascii="Arial" w:hAnsi="Arial" w:cs="Arial"/>
          <w:bCs/>
          <w:sz w:val="20"/>
          <w:szCs w:val="20"/>
        </w:rPr>
        <w:t>ZPRÁVA O PLNĚNÍ KONCEPCE SOCIÁLNÍHO BYDLENÍ 2015 - 2025 ZA ROK 2016.</w:t>
      </w:r>
    </w:p>
  </w:footnote>
  <w:footnote w:id="34">
    <w:p w14:paraId="0134D70F" w14:textId="07147735"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26" w:history="1">
        <w:r w:rsidR="00952BA4" w:rsidRPr="00FD7DE6">
          <w:rPr>
            <w:rStyle w:val="Hyperlink"/>
          </w:rPr>
          <w:t>https://ec.europa.eu/info/sites/info/files/2018-european-semester-country-report-czech-republic-en.pdf</w:t>
        </w:r>
      </w:hyperlink>
      <w:r w:rsidR="00952BA4">
        <w:rPr>
          <w:rStyle w:val="Hyperlink"/>
          <w:u w:val="none"/>
        </w:rPr>
        <w:t>.</w:t>
      </w:r>
      <w:r w:rsidRPr="00952BA4">
        <w:t xml:space="preserve"> </w:t>
      </w:r>
    </w:p>
  </w:footnote>
  <w:footnote w:id="35">
    <w:p w14:paraId="6C475C89" w14:textId="372DDE4F" w:rsidR="00E75C0F" w:rsidRPr="00952BA4" w:rsidRDefault="00E75C0F" w:rsidP="00533013">
      <w:pPr>
        <w:pStyle w:val="Default"/>
        <w:ind w:left="284" w:hanging="284"/>
        <w:rPr>
          <w:rFonts w:ascii="Arial" w:hAnsi="Arial" w:cs="Arial"/>
          <w:sz w:val="20"/>
          <w:szCs w:val="20"/>
        </w:rPr>
      </w:pPr>
      <w:r w:rsidRPr="00952BA4">
        <w:rPr>
          <w:rStyle w:val="FootnoteReference"/>
          <w:rFonts w:ascii="Arial" w:hAnsi="Arial" w:cs="Arial"/>
          <w:sz w:val="20"/>
          <w:szCs w:val="20"/>
        </w:rPr>
        <w:footnoteRef/>
      </w:r>
      <w:r w:rsidRPr="00952BA4">
        <w:rPr>
          <w:rFonts w:ascii="Arial" w:hAnsi="Arial" w:cs="Arial"/>
          <w:sz w:val="20"/>
          <w:szCs w:val="20"/>
        </w:rPr>
        <w:t xml:space="preserve"> </w:t>
      </w:r>
      <w:r w:rsidR="00952BA4">
        <w:rPr>
          <w:rFonts w:ascii="Arial" w:hAnsi="Arial" w:cs="Arial"/>
          <w:sz w:val="20"/>
          <w:szCs w:val="20"/>
        </w:rPr>
        <w:tab/>
      </w:r>
      <w:r w:rsidRPr="00952BA4">
        <w:rPr>
          <w:rFonts w:ascii="Arial" w:hAnsi="Arial" w:cs="Arial"/>
          <w:sz w:val="20"/>
          <w:szCs w:val="20"/>
        </w:rPr>
        <w:t>Recommendation for a COUNCIL RECOMMENDATION on the 2018 National Reform Programme of the Czech Republic and delivering a Council opinion on the 2018 Convergence Programme of the Czech Republic</w:t>
      </w:r>
      <w:r w:rsidR="00952BA4">
        <w:rPr>
          <w:rFonts w:ascii="Arial" w:hAnsi="Arial" w:cs="Arial"/>
          <w:sz w:val="20"/>
          <w:szCs w:val="20"/>
        </w:rPr>
        <w:t>.</w:t>
      </w:r>
    </w:p>
  </w:footnote>
  <w:footnote w:id="36">
    <w:p w14:paraId="34D955C3" w14:textId="75B63D0F"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27" w:history="1">
        <w:r w:rsidR="00952BA4" w:rsidRPr="00FD7DE6">
          <w:rPr>
            <w:rStyle w:val="Hyperlink"/>
          </w:rPr>
          <w:t>https://ec.europa.eu/info/sites/info/files/2018-european-semester-national-reform-programme-czech-republic-en.pdf</w:t>
        </w:r>
      </w:hyperlink>
      <w:r w:rsidR="00952BA4">
        <w:rPr>
          <w:rStyle w:val="Hyperlink"/>
          <w:u w:val="none"/>
        </w:rPr>
        <w:t>.</w:t>
      </w:r>
      <w:r w:rsidRPr="00952BA4">
        <w:t xml:space="preserve"> </w:t>
      </w:r>
    </w:p>
  </w:footnote>
  <w:footnote w:id="37">
    <w:p w14:paraId="6EE26F45" w14:textId="2D53BE8D"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r w:rsidRPr="00952BA4">
        <w:t>Recommendation for a COUNCIL RECOMMENDATION on the 2018 National Reform Programme of the Czech Republic and delivering a Council opinion on the 2018 Convergence Programme of the Czech Republic</w:t>
      </w:r>
      <w:r w:rsidR="00952BA4">
        <w:t>.</w:t>
      </w:r>
    </w:p>
  </w:footnote>
  <w:footnote w:id="38">
    <w:p w14:paraId="6FA3A837" w14:textId="53AF0F4B"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r w:rsidRPr="00952BA4">
        <w:t xml:space="preserve">European Structural and Investment Funds 2014 – 2020 at Glance, </w:t>
      </w:r>
      <w:hyperlink r:id="rId28" w:history="1">
        <w:r w:rsidRPr="00952BA4">
          <w:rPr>
            <w:rStyle w:val="Hyperlink"/>
          </w:rPr>
          <w:t>http://www.strukturalni-fondy.cz/getmedia/a8d2b2ae-6acf-4abf-b282-c3c88174986d/ESI-fondy-v-kostce-3-vyd-web_1.pdf.aspx?ext=.pdf</w:t>
        </w:r>
      </w:hyperlink>
      <w:r w:rsidRPr="00952BA4">
        <w:t xml:space="preserve">. </w:t>
      </w:r>
    </w:p>
  </w:footnote>
  <w:footnote w:id="39">
    <w:p w14:paraId="7479359F" w14:textId="7DEA994B"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r w:rsidRPr="00952BA4">
        <w:t xml:space="preserve">European Structural and Investment Funds 2014 – 2020 at Glance, </w:t>
      </w:r>
      <w:hyperlink r:id="rId29" w:history="1">
        <w:r w:rsidRPr="00952BA4">
          <w:rPr>
            <w:rStyle w:val="Hyperlink"/>
          </w:rPr>
          <w:t>http://www.strukturalni-fondy.cz/getmedia/a8d2b2ae-6acf-4abf-b282-c3c88174986d/ESI-fondy-v-kostce-3-vyd-web_1.pdf.aspx?ext=.pdf</w:t>
        </w:r>
      </w:hyperlink>
      <w:r w:rsidRPr="00952BA4">
        <w:t>.</w:t>
      </w:r>
    </w:p>
  </w:footnote>
  <w:footnote w:id="40">
    <w:p w14:paraId="690B077A" w14:textId="2C07C56A"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0" w:history="1">
        <w:r w:rsidR="00952BA4" w:rsidRPr="00FD7DE6">
          <w:rPr>
            <w:rStyle w:val="Hyperlink"/>
            <w:bCs/>
          </w:rPr>
          <w:t>http://www.strukturalni-fondy.cz/getmedia/df74be49-92c0-434b-9b71-1fccd21dad18/letak-bez-vnitrnich-stran-TISK.pdf.aspx?ext=.pdf</w:t>
        </w:r>
      </w:hyperlink>
      <w:r w:rsidR="00952BA4">
        <w:rPr>
          <w:rStyle w:val="Hyperlink"/>
          <w:bCs/>
          <w:u w:val="none"/>
        </w:rPr>
        <w:t>.</w:t>
      </w:r>
    </w:p>
  </w:footnote>
  <w:footnote w:id="41">
    <w:p w14:paraId="672AB0C1" w14:textId="2C48A046" w:rsidR="00E75C0F" w:rsidRPr="00952BA4" w:rsidRDefault="00E75C0F" w:rsidP="00533013">
      <w:pPr>
        <w:pStyle w:val="FootnoteText"/>
        <w:ind w:left="284" w:hanging="284"/>
      </w:pPr>
      <w:r w:rsidRPr="00952BA4">
        <w:rPr>
          <w:rStyle w:val="FootnoteReference"/>
        </w:rPr>
        <w:footnoteRef/>
      </w:r>
      <w:r w:rsidRPr="00952BA4">
        <w:t xml:space="preserve"> </w:t>
      </w:r>
      <w:r w:rsidR="00952BA4">
        <w:rPr>
          <w:rFonts w:eastAsia="Times New Roman"/>
          <w:iCs/>
          <w:color w:val="1A1F2A"/>
          <w:lang w:eastAsia="cs-CZ"/>
        </w:rPr>
        <w:tab/>
      </w:r>
      <w:hyperlink r:id="rId31" w:history="1">
        <w:r w:rsidR="00952BA4" w:rsidRPr="00FD7DE6">
          <w:rPr>
            <w:rStyle w:val="Hyperlink"/>
            <w:rFonts w:eastAsia="Times New Roman"/>
            <w:iCs/>
            <w:lang w:eastAsia="cs-CZ"/>
          </w:rPr>
          <w:t>www.inkluze.upol.cz</w:t>
        </w:r>
      </w:hyperlink>
      <w:r w:rsidRPr="00952BA4">
        <w:rPr>
          <w:rFonts w:eastAsia="Times New Roman"/>
          <w:iCs/>
          <w:color w:val="1A1F2A"/>
          <w:lang w:eastAsia="cs-CZ"/>
        </w:rPr>
        <w:t>.</w:t>
      </w:r>
    </w:p>
  </w:footnote>
  <w:footnote w:id="42">
    <w:p w14:paraId="6BCBC95B" w14:textId="39581508"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2" w:history="1">
        <w:r w:rsidR="00952BA4" w:rsidRPr="00FD7DE6">
          <w:rPr>
            <w:rStyle w:val="Hyperlink"/>
          </w:rPr>
          <w:t>http://www.trass.cz/</w:t>
        </w:r>
      </w:hyperlink>
      <w:r w:rsidR="00952BA4">
        <w:rPr>
          <w:rStyle w:val="Hyperlink"/>
          <w:u w:val="none"/>
        </w:rPr>
        <w:t>.</w:t>
      </w:r>
      <w:r w:rsidRPr="00952BA4">
        <w:t xml:space="preserve"> </w:t>
      </w:r>
    </w:p>
  </w:footnote>
  <w:footnote w:id="43">
    <w:p w14:paraId="03F8A1D2" w14:textId="032BB88A"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r w:rsidRPr="00952BA4">
        <w:rPr>
          <w:rFonts w:eastAsia="Times New Roman"/>
          <w:color w:val="000000"/>
          <w:kern w:val="24"/>
        </w:rPr>
        <w:t xml:space="preserve">Waageová, A. Presentation on Financing Deinstitutionalisation. </w:t>
      </w:r>
      <w:r w:rsidRPr="00952BA4">
        <w:t xml:space="preserve">MoLSA. </w:t>
      </w:r>
      <w:r w:rsidRPr="00952BA4">
        <w:rPr>
          <w:rFonts w:eastAsia="Times New Roman"/>
          <w:color w:val="000000"/>
          <w:kern w:val="24"/>
        </w:rPr>
        <w:t>Prague. 16 October 2018</w:t>
      </w:r>
      <w:r w:rsidR="00952BA4">
        <w:rPr>
          <w:rFonts w:eastAsia="Times New Roman"/>
          <w:color w:val="000000"/>
          <w:kern w:val="24"/>
        </w:rPr>
        <w:t>.</w:t>
      </w:r>
    </w:p>
  </w:footnote>
  <w:footnote w:id="44">
    <w:p w14:paraId="7464AF35" w14:textId="07309E24"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3" w:history="1">
        <w:r w:rsidR="00952BA4" w:rsidRPr="00FD7DE6">
          <w:rPr>
            <w:rStyle w:val="Hyperlink"/>
          </w:rPr>
          <w:t>http://ec.europa.eu/social/main.jsp?langId=en&amp;catId=89&amp;newsId=614&amp;furtherNews=yes</w:t>
        </w:r>
      </w:hyperlink>
      <w:r w:rsidR="00952BA4">
        <w:rPr>
          <w:rStyle w:val="Hyperlink"/>
          <w:color w:val="auto"/>
          <w:u w:val="none"/>
        </w:rPr>
        <w:t>.</w:t>
      </w:r>
    </w:p>
  </w:footnote>
  <w:footnote w:id="45">
    <w:p w14:paraId="55A26DC0" w14:textId="6F2F91A8"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4" w:history="1">
        <w:r w:rsidR="00952BA4" w:rsidRPr="00FD7DE6">
          <w:rPr>
            <w:rStyle w:val="Hyperlink"/>
          </w:rPr>
          <w:t>http://www.trass.cz/wp-content/uploads/2015/10/Attributes.pdf</w:t>
        </w:r>
      </w:hyperlink>
      <w:r w:rsidR="00952BA4">
        <w:rPr>
          <w:rStyle w:val="Hyperlink"/>
          <w:color w:val="auto"/>
          <w:u w:val="none"/>
        </w:rPr>
        <w:t>.</w:t>
      </w:r>
    </w:p>
  </w:footnote>
  <w:footnote w:id="46">
    <w:p w14:paraId="5359555C" w14:textId="0EF3DE48"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5" w:history="1">
        <w:r w:rsidR="00952BA4" w:rsidRPr="00FD7DE6">
          <w:rPr>
            <w:rStyle w:val="Hyperlink"/>
          </w:rPr>
          <w:t>http://www.strukturalni-fondy.cz/en/Statistiky-a-analyzy/Indikatory?Text=&amp;Tema=Social%20Issues%20&amp;Obdobi=0</w:t>
        </w:r>
      </w:hyperlink>
      <w:r w:rsidR="00952BA4">
        <w:rPr>
          <w:rStyle w:val="Hyperlink"/>
          <w:color w:val="auto"/>
          <w:u w:val="none"/>
        </w:rPr>
        <w:t>.</w:t>
      </w:r>
    </w:p>
  </w:footnote>
  <w:footnote w:id="47">
    <w:p w14:paraId="252C98DE" w14:textId="2FD949A2"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6" w:history="1">
        <w:r w:rsidR="00952BA4" w:rsidRPr="00FD7DE6">
          <w:rPr>
            <w:rStyle w:val="Hyperlink"/>
          </w:rPr>
          <w:t>https://www.mmr.cz/getmedia/91479512-707e-45ca-80ff-8ebbe28a5a0c/AJ_kostka_web.pdf</w:t>
        </w:r>
      </w:hyperlink>
      <w:r w:rsidR="00952BA4">
        <w:rPr>
          <w:rStyle w:val="Hyperlink"/>
          <w:u w:val="none"/>
        </w:rPr>
        <w:t>.</w:t>
      </w:r>
      <w:r w:rsidRPr="00952BA4">
        <w:t xml:space="preserve"> </w:t>
      </w:r>
    </w:p>
  </w:footnote>
  <w:footnote w:id="48">
    <w:p w14:paraId="3AF14C73" w14:textId="00627230"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7" w:history="1">
        <w:r w:rsidR="00952BA4" w:rsidRPr="00FD7DE6">
          <w:rPr>
            <w:rStyle w:val="Hyperlink"/>
          </w:rPr>
          <w:t>https://www.mmr.cz/getmedia/91479512-707e-45ca-80ff-8ebbe28a5a0c/AJ_kostka_web.pdf</w:t>
        </w:r>
      </w:hyperlink>
      <w:r w:rsidR="00952BA4">
        <w:rPr>
          <w:rStyle w:val="Hyperlink"/>
          <w:u w:val="none"/>
        </w:rPr>
        <w:t>.</w:t>
      </w:r>
      <w:r w:rsidRPr="00952BA4">
        <w:t xml:space="preserve"> </w:t>
      </w:r>
    </w:p>
  </w:footnote>
  <w:footnote w:id="49">
    <w:p w14:paraId="560E9C69" w14:textId="5BC34FE3"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8" w:history="1">
        <w:r w:rsidR="00952BA4" w:rsidRPr="00FD7DE6">
          <w:rPr>
            <w:rStyle w:val="Hyperlink"/>
          </w:rPr>
          <w:t>https://www.mmr.cz/getmedia/91479512-707e-45ca-80ff-8ebbe28a5a0c/AJ_kostka_web.pdf</w:t>
        </w:r>
      </w:hyperlink>
      <w:r w:rsidR="00952BA4">
        <w:rPr>
          <w:rStyle w:val="Hyperlink"/>
          <w:u w:val="none"/>
        </w:rPr>
        <w:t>.</w:t>
      </w:r>
      <w:r w:rsidRPr="00952BA4">
        <w:t xml:space="preserve"> </w:t>
      </w:r>
    </w:p>
  </w:footnote>
  <w:footnote w:id="50">
    <w:p w14:paraId="099350AC" w14:textId="6EDC96FF"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39" w:history="1">
        <w:r w:rsidR="00952BA4" w:rsidRPr="00FD7DE6">
          <w:rPr>
            <w:rStyle w:val="Hyperlink"/>
          </w:rPr>
          <w:t>https://www.mmr.cz/getmedia/91479512-707e-45ca-80ff-8ebbe28a5a0c/AJ_kostka_web.pdf</w:t>
        </w:r>
      </w:hyperlink>
      <w:r w:rsidR="00952BA4">
        <w:rPr>
          <w:rStyle w:val="Hyperlink"/>
          <w:u w:val="none"/>
        </w:rPr>
        <w:t>.</w:t>
      </w:r>
      <w:r w:rsidRPr="00952BA4">
        <w:t xml:space="preserve"> </w:t>
      </w:r>
    </w:p>
  </w:footnote>
  <w:footnote w:id="51">
    <w:p w14:paraId="738A98DE" w14:textId="2D14CC98"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40" w:history="1">
        <w:r w:rsidR="00952BA4" w:rsidRPr="00FD7DE6">
          <w:rPr>
            <w:rStyle w:val="Hyperlink"/>
          </w:rPr>
          <w:t>https://www.mmr.cz/getmedia/91479512-707e-45ca-80ff-8ebbe28a5a0c/AJ_kostka_web.pdf</w:t>
        </w:r>
      </w:hyperlink>
      <w:r w:rsidR="00952BA4">
        <w:rPr>
          <w:rStyle w:val="Hyperlink"/>
          <w:u w:val="none"/>
        </w:rPr>
        <w:t>.</w:t>
      </w:r>
      <w:r w:rsidRPr="00952BA4">
        <w:t xml:space="preserve"> </w:t>
      </w:r>
    </w:p>
  </w:footnote>
  <w:footnote w:id="52">
    <w:p w14:paraId="27177A4E" w14:textId="11F9BF4F"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41" w:history="1">
        <w:r w:rsidR="00952BA4" w:rsidRPr="00FD7DE6">
          <w:rPr>
            <w:rStyle w:val="Hyperlink"/>
          </w:rPr>
          <w:t>https://www.mmr.cz/getmedia/91479512-707e-45ca-80ff-8ebbe28a5a0c/AJ_kostka_web.pdf</w:t>
        </w:r>
      </w:hyperlink>
      <w:r w:rsidR="00952BA4">
        <w:rPr>
          <w:rStyle w:val="Hyperlink"/>
          <w:u w:val="none"/>
        </w:rPr>
        <w:t>.</w:t>
      </w:r>
      <w:r w:rsidRPr="00952BA4">
        <w:t xml:space="preserve"> </w:t>
      </w:r>
    </w:p>
  </w:footnote>
  <w:footnote w:id="53">
    <w:p w14:paraId="4ABBCD57" w14:textId="4AA2BD62"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hyperlink r:id="rId42" w:history="1">
        <w:r w:rsidR="00952BA4" w:rsidRPr="00FD7DE6">
          <w:rPr>
            <w:rStyle w:val="Hyperlink"/>
          </w:rPr>
          <w:t>https://www.mmr.cz/getmedia/91479512-707e-45ca-80ff-8ebbe28a5a0c/AJ_kostka_web.pdf</w:t>
        </w:r>
      </w:hyperlink>
      <w:r w:rsidR="00952BA4">
        <w:rPr>
          <w:rStyle w:val="Hyperlink"/>
          <w:u w:val="none"/>
        </w:rPr>
        <w:t>.</w:t>
      </w:r>
      <w:r w:rsidRPr="00952BA4">
        <w:t xml:space="preserve">  </w:t>
      </w:r>
    </w:p>
  </w:footnote>
  <w:footnote w:id="54">
    <w:p w14:paraId="65E9DF5E" w14:textId="43BB0DC2" w:rsidR="00E75C0F" w:rsidRPr="00952BA4" w:rsidRDefault="00E75C0F" w:rsidP="00533013">
      <w:pPr>
        <w:pStyle w:val="FootnoteText"/>
        <w:ind w:left="284" w:hanging="284"/>
      </w:pPr>
      <w:r w:rsidRPr="00952BA4">
        <w:rPr>
          <w:rStyle w:val="FootnoteReference"/>
        </w:rPr>
        <w:footnoteRef/>
      </w:r>
      <w:r w:rsidRPr="00952BA4">
        <w:t xml:space="preserve"> </w:t>
      </w:r>
      <w:r w:rsidRPr="00952BA4">
        <w:tab/>
        <w:t xml:space="preserve">The SILC survey questions are contained in the Minimum European Health Module (MEHM) </w:t>
      </w:r>
      <w:hyperlink r:id="rId43" w:history="1">
        <w:r w:rsidRPr="00952BA4">
          <w:rPr>
            <w:rStyle w:val="Hyperlink"/>
          </w:rPr>
          <w:t>http://epp.eurostat.ec.europa.eu/statistics_explained/index.php/Glossary:Minimum_European_Health_Module_(MEHM)</w:t>
        </w:r>
      </w:hyperlink>
      <w:r w:rsidRPr="00952BA4">
        <w:rPr>
          <w:rStyle w:val="Hyperlink"/>
          <w:u w:val="none"/>
        </w:rPr>
        <w:t>.</w:t>
      </w:r>
      <w:r w:rsidRPr="00952BA4">
        <w:t xml:space="preserve"> </w:t>
      </w:r>
    </w:p>
  </w:footnote>
  <w:footnote w:id="55">
    <w:p w14:paraId="29A09E8B" w14:textId="7A0BA922" w:rsidR="00E75C0F" w:rsidRPr="00952BA4" w:rsidRDefault="00E75C0F" w:rsidP="00533013">
      <w:pPr>
        <w:pStyle w:val="FootnoteText"/>
        <w:ind w:left="284" w:hanging="284"/>
      </w:pPr>
      <w:r w:rsidRPr="00952BA4">
        <w:rPr>
          <w:rStyle w:val="FootnoteReference"/>
        </w:rPr>
        <w:footnoteRef/>
      </w:r>
      <w:r w:rsidRPr="00952BA4">
        <w:t xml:space="preserve"> </w:t>
      </w:r>
      <w:r w:rsidRPr="00952BA4">
        <w:tab/>
        <w:t xml:space="preserve">The methodology is further explained in the annual statistical reports of ANED, available at </w:t>
      </w:r>
      <w:hyperlink r:id="rId44" w:history="1">
        <w:r w:rsidRPr="00952BA4">
          <w:rPr>
            <w:rStyle w:val="Hyperlink"/>
          </w:rPr>
          <w:t>http://www.disability-europe.net/theme/statistical-indicators</w:t>
        </w:r>
      </w:hyperlink>
      <w:r w:rsidRPr="00952BA4">
        <w:rPr>
          <w:rStyle w:val="Hyperlink"/>
          <w:u w:val="none"/>
        </w:rPr>
        <w:t>.</w:t>
      </w:r>
      <w:r w:rsidRPr="00952BA4">
        <w:t xml:space="preserve"> </w:t>
      </w:r>
    </w:p>
  </w:footnote>
  <w:footnote w:id="56">
    <w:p w14:paraId="61E024AB" w14:textId="60483CEE"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r w:rsidRPr="00952BA4">
        <w:t>A discontinuity in the German disability data due to a definitional change in 2015 (reducing prevalence estimates) and affected the estimation of EU average indicators and trends. A break in the Italian prevalence data in 2016 was also large enough to affect the EU average.</w:t>
      </w:r>
    </w:p>
  </w:footnote>
  <w:footnote w:id="57">
    <w:p w14:paraId="50CA2599" w14:textId="4E56589E" w:rsidR="00E75C0F" w:rsidRPr="00952BA4" w:rsidRDefault="00E75C0F" w:rsidP="00533013">
      <w:pPr>
        <w:pStyle w:val="FootnoteText"/>
        <w:ind w:left="284" w:hanging="284"/>
      </w:pPr>
      <w:r w:rsidRPr="00952BA4">
        <w:rPr>
          <w:rStyle w:val="FootnoteReference"/>
        </w:rPr>
        <w:footnoteRef/>
      </w:r>
      <w:r w:rsidRPr="00952BA4">
        <w:t xml:space="preserve"> </w:t>
      </w:r>
      <w:r w:rsidR="00952BA4">
        <w:tab/>
      </w:r>
      <w:r w:rsidRPr="00952BA4">
        <w:t>There was a change from ISCED 1997 to ISCED 2011 qualification definitions in 2014 although some Member States continued to use the older definition in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E29B" w14:textId="7B216176" w:rsidR="00E75C0F" w:rsidRDefault="00E75C0F" w:rsidP="00AF323E">
    <w:r>
      <w:rPr>
        <w:noProof/>
        <w:lang w:eastAsia="zh-CN"/>
      </w:rPr>
      <mc:AlternateContent>
        <mc:Choice Requires="wps">
          <w:drawing>
            <wp:anchor distT="0" distB="0" distL="114300" distR="114300" simplePos="0" relativeHeight="251657728" behindDoc="0" locked="0" layoutInCell="1" allowOverlap="1" wp14:anchorId="3008F0B0" wp14:editId="0639500C">
              <wp:simplePos x="0" y="0"/>
              <wp:positionH relativeFrom="column">
                <wp:posOffset>0</wp:posOffset>
              </wp:positionH>
              <wp:positionV relativeFrom="paragraph">
                <wp:posOffset>226060</wp:posOffset>
              </wp:positionV>
              <wp:extent cx="5724525" cy="3524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80A" w14:textId="136F6C94" w:rsidR="00E75C0F" w:rsidRDefault="00E75C0F"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4A51AFF" w14:textId="4EF1DBB0" w:rsidR="00E75C0F" w:rsidRPr="00ED6A68" w:rsidRDefault="00020DE8" w:rsidP="00895667">
                          <w:pPr>
                            <w:jc w:val="center"/>
                            <w:rPr>
                              <w:sz w:val="16"/>
                              <w:szCs w:val="16"/>
                            </w:rPr>
                          </w:pPr>
                          <w:r>
                            <w:rPr>
                              <w:sz w:val="16"/>
                              <w:szCs w:val="16"/>
                            </w:rPr>
                            <w:pict w14:anchorId="2F85DAB0">
                              <v:rect id="_x0000_i1026"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0B0" id="_x0000_t202" coordsize="21600,21600" o:spt="202" path="m,l,21600r21600,l21600,xe">
              <v:stroke joinstyle="miter"/>
              <v:path gradientshapeok="t" o:connecttype="rect"/>
            </v:shapetype>
            <v:shape id="Text Box 21" o:spid="_x0000_s1026" type="#_x0000_t202" style="position:absolute;margin-left:0;margin-top:17.8pt;width:450.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" filled="f" stroked="f">
              <v:textbox>
                <w:txbxContent>
                  <w:p w14:paraId="5928680A" w14:textId="136F6C94" w:rsidR="00E75C0F" w:rsidRDefault="00E75C0F"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4A51AFF" w14:textId="4EF1DBB0" w:rsidR="00E75C0F" w:rsidRPr="00ED6A68" w:rsidRDefault="00020DE8" w:rsidP="00895667">
                    <w:pPr>
                      <w:jc w:val="center"/>
                      <w:rPr>
                        <w:sz w:val="16"/>
                        <w:szCs w:val="16"/>
                      </w:rPr>
                    </w:pPr>
                    <w:r>
                      <w:rPr>
                        <w:sz w:val="16"/>
                        <w:szCs w:val="16"/>
                      </w:rPr>
                      <w:pict w14:anchorId="2F85DAB0">
                        <v:rect id="_x0000_i1026" style="width:0;height:1.5pt" o:hralign="center" o:hrstd="t" o:hr="t" fillcolor="#a0a0a0" stroked="f"/>
                      </w:pic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D034E"/>
    <w:multiLevelType w:val="hybridMultilevel"/>
    <w:tmpl w:val="B9B85446"/>
    <w:lvl w:ilvl="0" w:tplc="AC4437E6">
      <w:start w:val="1"/>
      <w:numFmt w:val="bullet"/>
      <w:lvlText w:val="-"/>
      <w:lvlJc w:val="left"/>
      <w:pPr>
        <w:ind w:left="720" w:hanging="360"/>
      </w:pPr>
      <w:rPr>
        <w:rFonts w:ascii="Arial" w:eastAsia="Calibri" w:hAnsi="Arial" w:cs="Arial" w:hint="default"/>
        <w: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AC85D13"/>
    <w:multiLevelType w:val="hybridMultilevel"/>
    <w:tmpl w:val="26C4B9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E765FB"/>
    <w:multiLevelType w:val="hybridMultilevel"/>
    <w:tmpl w:val="C02C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3E1896"/>
    <w:multiLevelType w:val="hybridMultilevel"/>
    <w:tmpl w:val="B25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C31D3"/>
    <w:multiLevelType w:val="multilevel"/>
    <w:tmpl w:val="2F7C26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08407B"/>
    <w:multiLevelType w:val="hybridMultilevel"/>
    <w:tmpl w:val="02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11A50"/>
    <w:multiLevelType w:val="hybridMultilevel"/>
    <w:tmpl w:val="277A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7549AF"/>
    <w:multiLevelType w:val="hybridMultilevel"/>
    <w:tmpl w:val="238CF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1756CC"/>
    <w:multiLevelType w:val="hybridMultilevel"/>
    <w:tmpl w:val="E32E16E8"/>
    <w:lvl w:ilvl="0" w:tplc="67C8D1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F2A3C"/>
    <w:multiLevelType w:val="hybridMultilevel"/>
    <w:tmpl w:val="ED0C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8D7F52"/>
    <w:multiLevelType w:val="hybridMultilevel"/>
    <w:tmpl w:val="94C24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1B2272"/>
    <w:multiLevelType w:val="multilevel"/>
    <w:tmpl w:val="8A30EE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E681A14"/>
    <w:multiLevelType w:val="hybridMultilevel"/>
    <w:tmpl w:val="9CA862B4"/>
    <w:lvl w:ilvl="0" w:tplc="04050001">
      <w:start w:val="1"/>
      <w:numFmt w:val="bullet"/>
      <w:lvlText w:val=""/>
      <w:lvlJc w:val="left"/>
      <w:pPr>
        <w:ind w:left="720" w:hanging="360"/>
      </w:pPr>
      <w:rPr>
        <w:rFonts w:ascii="Symbol" w:hAnsi="Symbol" w:hint="default"/>
        <w: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2FE7105"/>
    <w:multiLevelType w:val="hybridMultilevel"/>
    <w:tmpl w:val="2A30F7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4" w15:restartNumberingAfterBreak="0">
    <w:nsid w:val="33C00C3B"/>
    <w:multiLevelType w:val="hybridMultilevel"/>
    <w:tmpl w:val="A4C0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90216"/>
    <w:multiLevelType w:val="hybridMultilevel"/>
    <w:tmpl w:val="609C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BA351B"/>
    <w:multiLevelType w:val="hybridMultilevel"/>
    <w:tmpl w:val="D598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15AAF"/>
    <w:multiLevelType w:val="hybridMultilevel"/>
    <w:tmpl w:val="4AA40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1A4619"/>
    <w:multiLevelType w:val="multilevel"/>
    <w:tmpl w:val="54AA96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ECC6431"/>
    <w:multiLevelType w:val="hybridMultilevel"/>
    <w:tmpl w:val="E5C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6A6A82"/>
    <w:multiLevelType w:val="hybridMultilevel"/>
    <w:tmpl w:val="A3A46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C2349D"/>
    <w:multiLevelType w:val="hybridMultilevel"/>
    <w:tmpl w:val="1F4E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DD38C5"/>
    <w:multiLevelType w:val="hybridMultilevel"/>
    <w:tmpl w:val="2F202AEC"/>
    <w:lvl w:ilvl="0" w:tplc="16F658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E0B94"/>
    <w:multiLevelType w:val="multilevel"/>
    <w:tmpl w:val="12E42466"/>
    <w:numStyleLink w:val="Style1"/>
  </w:abstractNum>
  <w:abstractNum w:abstractNumId="34" w15:restartNumberingAfterBreak="0">
    <w:nsid w:val="5EE71126"/>
    <w:multiLevelType w:val="hybridMultilevel"/>
    <w:tmpl w:val="1F3E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54ABC"/>
    <w:multiLevelType w:val="hybridMultilevel"/>
    <w:tmpl w:val="8D08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F6590"/>
    <w:multiLevelType w:val="hybridMultilevel"/>
    <w:tmpl w:val="0EEE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8942439"/>
    <w:multiLevelType w:val="hybridMultilevel"/>
    <w:tmpl w:val="9BD24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D73905"/>
    <w:multiLevelType w:val="hybridMultilevel"/>
    <w:tmpl w:val="04941DB4"/>
    <w:lvl w:ilvl="0" w:tplc="08090001">
      <w:start w:val="1"/>
      <w:numFmt w:val="bullet"/>
      <w:lvlText w:val=""/>
      <w:lvlJc w:val="left"/>
      <w:pPr>
        <w:tabs>
          <w:tab w:val="num" w:pos="360"/>
        </w:tabs>
        <w:ind w:left="360" w:hanging="360"/>
      </w:pPr>
      <w:rPr>
        <w:rFonts w:ascii="Symbol" w:hAnsi="Symbol" w:hint="default"/>
      </w:rPr>
    </w:lvl>
    <w:lvl w:ilvl="1" w:tplc="0C742E8A">
      <w:start w:val="1"/>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AA2FB5"/>
    <w:multiLevelType w:val="multilevel"/>
    <w:tmpl w:val="FDF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7"/>
  </w:num>
  <w:num w:numId="13">
    <w:abstractNumId w:val="31"/>
  </w:num>
  <w:num w:numId="14">
    <w:abstractNumId w:val="39"/>
  </w:num>
  <w:num w:numId="15">
    <w:abstractNumId w:val="12"/>
  </w:num>
  <w:num w:numId="16">
    <w:abstractNumId w:val="16"/>
  </w:num>
  <w:num w:numId="17">
    <w:abstractNumId w:val="27"/>
  </w:num>
  <w:num w:numId="18">
    <w:abstractNumId w:val="19"/>
  </w:num>
  <w:num w:numId="19">
    <w:abstractNumId w:val="29"/>
  </w:num>
  <w:num w:numId="20">
    <w:abstractNumId w:val="28"/>
  </w:num>
  <w:num w:numId="21">
    <w:abstractNumId w:val="18"/>
  </w:num>
  <w:num w:numId="22">
    <w:abstractNumId w:val="32"/>
  </w:num>
  <w:num w:numId="23">
    <w:abstractNumId w:val="14"/>
  </w:num>
  <w:num w:numId="24">
    <w:abstractNumId w:val="13"/>
  </w:num>
  <w:num w:numId="25">
    <w:abstractNumId w:val="25"/>
  </w:num>
  <w:num w:numId="26">
    <w:abstractNumId w:val="35"/>
  </w:num>
  <w:num w:numId="27">
    <w:abstractNumId w:val="21"/>
  </w:num>
  <w:num w:numId="28">
    <w:abstractNumId w:val="34"/>
  </w:num>
  <w:num w:numId="29">
    <w:abstractNumId w:val="15"/>
  </w:num>
  <w:num w:numId="30">
    <w:abstractNumId w:val="36"/>
  </w:num>
  <w:num w:numId="31">
    <w:abstractNumId w:val="40"/>
  </w:num>
  <w:num w:numId="32">
    <w:abstractNumId w:val="23"/>
  </w:num>
  <w:num w:numId="33">
    <w:abstractNumId w:val="17"/>
  </w:num>
  <w:num w:numId="34">
    <w:abstractNumId w:val="24"/>
  </w:num>
  <w:num w:numId="35">
    <w:abstractNumId w:val="11"/>
  </w:num>
  <w:num w:numId="36">
    <w:abstractNumId w:val="20"/>
  </w:num>
  <w:num w:numId="37">
    <w:abstractNumId w:val="38"/>
  </w:num>
  <w:num w:numId="38">
    <w:abstractNumId w:val="30"/>
  </w:num>
  <w:num w:numId="39">
    <w:abstractNumId w:val="26"/>
  </w:num>
  <w:num w:numId="40">
    <w:abstractNumId w:val="1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01"/>
    <w:rsid w:val="00003C22"/>
    <w:rsid w:val="0000522E"/>
    <w:rsid w:val="00005D28"/>
    <w:rsid w:val="00007312"/>
    <w:rsid w:val="00011B4F"/>
    <w:rsid w:val="0001374E"/>
    <w:rsid w:val="000154CE"/>
    <w:rsid w:val="000159A6"/>
    <w:rsid w:val="00020DE8"/>
    <w:rsid w:val="00022EFF"/>
    <w:rsid w:val="0002363B"/>
    <w:rsid w:val="00023CBD"/>
    <w:rsid w:val="000336BD"/>
    <w:rsid w:val="00040141"/>
    <w:rsid w:val="0004167C"/>
    <w:rsid w:val="00044E73"/>
    <w:rsid w:val="00052A10"/>
    <w:rsid w:val="0005498D"/>
    <w:rsid w:val="000565CE"/>
    <w:rsid w:val="0006010A"/>
    <w:rsid w:val="000653DC"/>
    <w:rsid w:val="00065CD6"/>
    <w:rsid w:val="00066A6E"/>
    <w:rsid w:val="000737DD"/>
    <w:rsid w:val="00082E6D"/>
    <w:rsid w:val="000849C1"/>
    <w:rsid w:val="00084AB1"/>
    <w:rsid w:val="00085CDF"/>
    <w:rsid w:val="00086DAC"/>
    <w:rsid w:val="0009265B"/>
    <w:rsid w:val="00092B8F"/>
    <w:rsid w:val="00094EF9"/>
    <w:rsid w:val="000A0C42"/>
    <w:rsid w:val="000A2913"/>
    <w:rsid w:val="000A395C"/>
    <w:rsid w:val="000B0DBF"/>
    <w:rsid w:val="000B5480"/>
    <w:rsid w:val="000B79B9"/>
    <w:rsid w:val="000C2FED"/>
    <w:rsid w:val="000C41FF"/>
    <w:rsid w:val="000C6405"/>
    <w:rsid w:val="000C7BB9"/>
    <w:rsid w:val="000D320A"/>
    <w:rsid w:val="000D5FEC"/>
    <w:rsid w:val="000D7CD5"/>
    <w:rsid w:val="000E016C"/>
    <w:rsid w:val="000E094C"/>
    <w:rsid w:val="000E1DB0"/>
    <w:rsid w:val="000E3D00"/>
    <w:rsid w:val="000E4C27"/>
    <w:rsid w:val="000E59E4"/>
    <w:rsid w:val="000E7982"/>
    <w:rsid w:val="000F47C4"/>
    <w:rsid w:val="000F657B"/>
    <w:rsid w:val="00100CCC"/>
    <w:rsid w:val="001041D1"/>
    <w:rsid w:val="0010423F"/>
    <w:rsid w:val="00105923"/>
    <w:rsid w:val="00107FD9"/>
    <w:rsid w:val="00110F97"/>
    <w:rsid w:val="001113F7"/>
    <w:rsid w:val="00111BDD"/>
    <w:rsid w:val="001146D4"/>
    <w:rsid w:val="00117547"/>
    <w:rsid w:val="001227F4"/>
    <w:rsid w:val="0013277C"/>
    <w:rsid w:val="001335A3"/>
    <w:rsid w:val="001341CA"/>
    <w:rsid w:val="00136970"/>
    <w:rsid w:val="001373F9"/>
    <w:rsid w:val="00141174"/>
    <w:rsid w:val="00141DC2"/>
    <w:rsid w:val="001435C9"/>
    <w:rsid w:val="00146B02"/>
    <w:rsid w:val="00152FE0"/>
    <w:rsid w:val="0015427E"/>
    <w:rsid w:val="001601AB"/>
    <w:rsid w:val="001602BF"/>
    <w:rsid w:val="00162433"/>
    <w:rsid w:val="0016280A"/>
    <w:rsid w:val="0016400D"/>
    <w:rsid w:val="00165FC9"/>
    <w:rsid w:val="00166850"/>
    <w:rsid w:val="00167C77"/>
    <w:rsid w:val="001717FA"/>
    <w:rsid w:val="00172D74"/>
    <w:rsid w:val="00172F55"/>
    <w:rsid w:val="001828CD"/>
    <w:rsid w:val="00183BDA"/>
    <w:rsid w:val="00184494"/>
    <w:rsid w:val="001851FF"/>
    <w:rsid w:val="00194C81"/>
    <w:rsid w:val="001A1BD2"/>
    <w:rsid w:val="001A3C7F"/>
    <w:rsid w:val="001A5067"/>
    <w:rsid w:val="001A63EC"/>
    <w:rsid w:val="001A783D"/>
    <w:rsid w:val="001B13C3"/>
    <w:rsid w:val="001C2F45"/>
    <w:rsid w:val="001C4261"/>
    <w:rsid w:val="001C5B04"/>
    <w:rsid w:val="001D2AA2"/>
    <w:rsid w:val="001D5515"/>
    <w:rsid w:val="001E1C6F"/>
    <w:rsid w:val="001E4166"/>
    <w:rsid w:val="001F1183"/>
    <w:rsid w:val="001F6793"/>
    <w:rsid w:val="001F6CDE"/>
    <w:rsid w:val="00200D1A"/>
    <w:rsid w:val="002031BF"/>
    <w:rsid w:val="002048CB"/>
    <w:rsid w:val="0020659A"/>
    <w:rsid w:val="00206BED"/>
    <w:rsid w:val="0021177B"/>
    <w:rsid w:val="00212318"/>
    <w:rsid w:val="00222716"/>
    <w:rsid w:val="00225A6D"/>
    <w:rsid w:val="00226093"/>
    <w:rsid w:val="00227D30"/>
    <w:rsid w:val="00232313"/>
    <w:rsid w:val="002427FB"/>
    <w:rsid w:val="00243C02"/>
    <w:rsid w:val="002442D1"/>
    <w:rsid w:val="002467B8"/>
    <w:rsid w:val="00247433"/>
    <w:rsid w:val="002539F1"/>
    <w:rsid w:val="00257D2A"/>
    <w:rsid w:val="00273123"/>
    <w:rsid w:val="00273451"/>
    <w:rsid w:val="00273ED7"/>
    <w:rsid w:val="00285D6D"/>
    <w:rsid w:val="00286315"/>
    <w:rsid w:val="002868D6"/>
    <w:rsid w:val="00290F83"/>
    <w:rsid w:val="00295629"/>
    <w:rsid w:val="002A237B"/>
    <w:rsid w:val="002A6E2E"/>
    <w:rsid w:val="002A6F1E"/>
    <w:rsid w:val="002A7F69"/>
    <w:rsid w:val="002B12F0"/>
    <w:rsid w:val="002B1A3D"/>
    <w:rsid w:val="002C6959"/>
    <w:rsid w:val="002C697C"/>
    <w:rsid w:val="002D4C4A"/>
    <w:rsid w:val="002E269E"/>
    <w:rsid w:val="002E26F3"/>
    <w:rsid w:val="002E420B"/>
    <w:rsid w:val="002E5683"/>
    <w:rsid w:val="002E796E"/>
    <w:rsid w:val="002F415D"/>
    <w:rsid w:val="002F4E40"/>
    <w:rsid w:val="002F761D"/>
    <w:rsid w:val="0030171B"/>
    <w:rsid w:val="00302832"/>
    <w:rsid w:val="003130AC"/>
    <w:rsid w:val="00315F85"/>
    <w:rsid w:val="00330467"/>
    <w:rsid w:val="00336D47"/>
    <w:rsid w:val="003400F1"/>
    <w:rsid w:val="00346FC5"/>
    <w:rsid w:val="003476E9"/>
    <w:rsid w:val="0034784C"/>
    <w:rsid w:val="00350404"/>
    <w:rsid w:val="00352B1C"/>
    <w:rsid w:val="00352B66"/>
    <w:rsid w:val="003550D5"/>
    <w:rsid w:val="00356E4A"/>
    <w:rsid w:val="00360D01"/>
    <w:rsid w:val="00361BAE"/>
    <w:rsid w:val="00363805"/>
    <w:rsid w:val="00365193"/>
    <w:rsid w:val="00367337"/>
    <w:rsid w:val="00375373"/>
    <w:rsid w:val="003757DA"/>
    <w:rsid w:val="00376CC4"/>
    <w:rsid w:val="00381B30"/>
    <w:rsid w:val="00381CC3"/>
    <w:rsid w:val="003837D3"/>
    <w:rsid w:val="00385532"/>
    <w:rsid w:val="00390BA1"/>
    <w:rsid w:val="0039104C"/>
    <w:rsid w:val="003A076C"/>
    <w:rsid w:val="003A26EF"/>
    <w:rsid w:val="003B037B"/>
    <w:rsid w:val="003B1107"/>
    <w:rsid w:val="003B178E"/>
    <w:rsid w:val="003B422F"/>
    <w:rsid w:val="003B4E63"/>
    <w:rsid w:val="003D356C"/>
    <w:rsid w:val="003D7AB4"/>
    <w:rsid w:val="003E3252"/>
    <w:rsid w:val="003E5198"/>
    <w:rsid w:val="003E568B"/>
    <w:rsid w:val="003E601D"/>
    <w:rsid w:val="003E7EC1"/>
    <w:rsid w:val="003F195C"/>
    <w:rsid w:val="003F4379"/>
    <w:rsid w:val="003F5C99"/>
    <w:rsid w:val="004022FB"/>
    <w:rsid w:val="00407B10"/>
    <w:rsid w:val="00411BB5"/>
    <w:rsid w:val="004124AF"/>
    <w:rsid w:val="00413848"/>
    <w:rsid w:val="00415058"/>
    <w:rsid w:val="00416060"/>
    <w:rsid w:val="00416425"/>
    <w:rsid w:val="00416AA0"/>
    <w:rsid w:val="004211D8"/>
    <w:rsid w:val="004217C2"/>
    <w:rsid w:val="00421E28"/>
    <w:rsid w:val="00423314"/>
    <w:rsid w:val="004268DD"/>
    <w:rsid w:val="00426BBC"/>
    <w:rsid w:val="00430D4A"/>
    <w:rsid w:val="00440118"/>
    <w:rsid w:val="00441B0F"/>
    <w:rsid w:val="004508F7"/>
    <w:rsid w:val="004515AA"/>
    <w:rsid w:val="004516A4"/>
    <w:rsid w:val="004516D5"/>
    <w:rsid w:val="00451EC6"/>
    <w:rsid w:val="00463F06"/>
    <w:rsid w:val="00464D87"/>
    <w:rsid w:val="00473BED"/>
    <w:rsid w:val="004775A0"/>
    <w:rsid w:val="004808BD"/>
    <w:rsid w:val="00480DCE"/>
    <w:rsid w:val="00481FFA"/>
    <w:rsid w:val="00484B6C"/>
    <w:rsid w:val="00486491"/>
    <w:rsid w:val="00491619"/>
    <w:rsid w:val="00492D8E"/>
    <w:rsid w:val="00492E94"/>
    <w:rsid w:val="00494E15"/>
    <w:rsid w:val="00495165"/>
    <w:rsid w:val="00496B54"/>
    <w:rsid w:val="004A1035"/>
    <w:rsid w:val="004A2AE2"/>
    <w:rsid w:val="004A2B97"/>
    <w:rsid w:val="004A4026"/>
    <w:rsid w:val="004A6DA9"/>
    <w:rsid w:val="004B1E3E"/>
    <w:rsid w:val="004D01C6"/>
    <w:rsid w:val="004E4BEC"/>
    <w:rsid w:val="004E5CCD"/>
    <w:rsid w:val="004F2290"/>
    <w:rsid w:val="004F31A9"/>
    <w:rsid w:val="004F4264"/>
    <w:rsid w:val="004F42B7"/>
    <w:rsid w:val="004F5B3A"/>
    <w:rsid w:val="00501094"/>
    <w:rsid w:val="0050241E"/>
    <w:rsid w:val="005039F6"/>
    <w:rsid w:val="00503F97"/>
    <w:rsid w:val="00504BD1"/>
    <w:rsid w:val="00510F62"/>
    <w:rsid w:val="00512A18"/>
    <w:rsid w:val="00512FB4"/>
    <w:rsid w:val="00526839"/>
    <w:rsid w:val="00526C5B"/>
    <w:rsid w:val="00530D51"/>
    <w:rsid w:val="005315D2"/>
    <w:rsid w:val="00531C65"/>
    <w:rsid w:val="00533013"/>
    <w:rsid w:val="00533528"/>
    <w:rsid w:val="00534847"/>
    <w:rsid w:val="00534975"/>
    <w:rsid w:val="00536307"/>
    <w:rsid w:val="00537876"/>
    <w:rsid w:val="005441A0"/>
    <w:rsid w:val="0056052E"/>
    <w:rsid w:val="0056170C"/>
    <w:rsid w:val="00561FF5"/>
    <w:rsid w:val="0056264E"/>
    <w:rsid w:val="00566431"/>
    <w:rsid w:val="00573E37"/>
    <w:rsid w:val="00574AF4"/>
    <w:rsid w:val="00575675"/>
    <w:rsid w:val="0057731B"/>
    <w:rsid w:val="005831C6"/>
    <w:rsid w:val="0059089A"/>
    <w:rsid w:val="005910E4"/>
    <w:rsid w:val="0059415A"/>
    <w:rsid w:val="0059463C"/>
    <w:rsid w:val="005961B2"/>
    <w:rsid w:val="00596EA7"/>
    <w:rsid w:val="00597A6F"/>
    <w:rsid w:val="005A3FC7"/>
    <w:rsid w:val="005A5B63"/>
    <w:rsid w:val="005B0626"/>
    <w:rsid w:val="005B0D14"/>
    <w:rsid w:val="005B247D"/>
    <w:rsid w:val="005B6816"/>
    <w:rsid w:val="005C65DC"/>
    <w:rsid w:val="005C75D8"/>
    <w:rsid w:val="005D23F3"/>
    <w:rsid w:val="005D2E05"/>
    <w:rsid w:val="005D3ECF"/>
    <w:rsid w:val="005D4A81"/>
    <w:rsid w:val="005E1C80"/>
    <w:rsid w:val="005E351C"/>
    <w:rsid w:val="005E4C81"/>
    <w:rsid w:val="005F15F1"/>
    <w:rsid w:val="005F4A51"/>
    <w:rsid w:val="005F4E9E"/>
    <w:rsid w:val="005F5B69"/>
    <w:rsid w:val="005F5C3F"/>
    <w:rsid w:val="0060156C"/>
    <w:rsid w:val="0061121E"/>
    <w:rsid w:val="00620231"/>
    <w:rsid w:val="00620B77"/>
    <w:rsid w:val="00623BA9"/>
    <w:rsid w:val="00624FAB"/>
    <w:rsid w:val="00626753"/>
    <w:rsid w:val="00634EAD"/>
    <w:rsid w:val="00636E70"/>
    <w:rsid w:val="006422C8"/>
    <w:rsid w:val="0064269E"/>
    <w:rsid w:val="00643FC9"/>
    <w:rsid w:val="006503F2"/>
    <w:rsid w:val="006512A2"/>
    <w:rsid w:val="0065240A"/>
    <w:rsid w:val="0065380E"/>
    <w:rsid w:val="006546FB"/>
    <w:rsid w:val="0065737D"/>
    <w:rsid w:val="0066278F"/>
    <w:rsid w:val="00662BD9"/>
    <w:rsid w:val="006638F2"/>
    <w:rsid w:val="00664CC4"/>
    <w:rsid w:val="00664EFF"/>
    <w:rsid w:val="00664F81"/>
    <w:rsid w:val="006740A5"/>
    <w:rsid w:val="00680417"/>
    <w:rsid w:val="00680D45"/>
    <w:rsid w:val="006818A0"/>
    <w:rsid w:val="00682C8E"/>
    <w:rsid w:val="006860ED"/>
    <w:rsid w:val="0068615E"/>
    <w:rsid w:val="00686A59"/>
    <w:rsid w:val="006915AC"/>
    <w:rsid w:val="00692101"/>
    <w:rsid w:val="0069263C"/>
    <w:rsid w:val="00692C95"/>
    <w:rsid w:val="00694558"/>
    <w:rsid w:val="00694C23"/>
    <w:rsid w:val="00694F9D"/>
    <w:rsid w:val="00696A74"/>
    <w:rsid w:val="006A7583"/>
    <w:rsid w:val="006A76F7"/>
    <w:rsid w:val="006B0344"/>
    <w:rsid w:val="006B2A4E"/>
    <w:rsid w:val="006B403C"/>
    <w:rsid w:val="006B7206"/>
    <w:rsid w:val="006B7EBF"/>
    <w:rsid w:val="006C20E9"/>
    <w:rsid w:val="006C2CDE"/>
    <w:rsid w:val="006C4539"/>
    <w:rsid w:val="006D2FE5"/>
    <w:rsid w:val="006D4276"/>
    <w:rsid w:val="006E7D08"/>
    <w:rsid w:val="006F163E"/>
    <w:rsid w:val="006F2E54"/>
    <w:rsid w:val="006F33F5"/>
    <w:rsid w:val="006F45A9"/>
    <w:rsid w:val="006F7988"/>
    <w:rsid w:val="0070114A"/>
    <w:rsid w:val="00702D6C"/>
    <w:rsid w:val="007038A9"/>
    <w:rsid w:val="00705AD4"/>
    <w:rsid w:val="00707FAD"/>
    <w:rsid w:val="0071696A"/>
    <w:rsid w:val="00717156"/>
    <w:rsid w:val="00717277"/>
    <w:rsid w:val="00722DE1"/>
    <w:rsid w:val="00725581"/>
    <w:rsid w:val="0072746D"/>
    <w:rsid w:val="00735AF9"/>
    <w:rsid w:val="007360E6"/>
    <w:rsid w:val="007376F6"/>
    <w:rsid w:val="00741074"/>
    <w:rsid w:val="00742967"/>
    <w:rsid w:val="00742AEB"/>
    <w:rsid w:val="00752864"/>
    <w:rsid w:val="007548CF"/>
    <w:rsid w:val="00755123"/>
    <w:rsid w:val="00755A21"/>
    <w:rsid w:val="00766A33"/>
    <w:rsid w:val="007709C9"/>
    <w:rsid w:val="00777783"/>
    <w:rsid w:val="007804E3"/>
    <w:rsid w:val="00780579"/>
    <w:rsid w:val="007824A5"/>
    <w:rsid w:val="007830E5"/>
    <w:rsid w:val="0078310B"/>
    <w:rsid w:val="007A6A53"/>
    <w:rsid w:val="007A6B3D"/>
    <w:rsid w:val="007C03D9"/>
    <w:rsid w:val="007C2286"/>
    <w:rsid w:val="007C33E6"/>
    <w:rsid w:val="007C58A6"/>
    <w:rsid w:val="007D50D0"/>
    <w:rsid w:val="007D61D7"/>
    <w:rsid w:val="007D6A67"/>
    <w:rsid w:val="007D6F19"/>
    <w:rsid w:val="007E2F8F"/>
    <w:rsid w:val="007E6255"/>
    <w:rsid w:val="007F345F"/>
    <w:rsid w:val="007F7808"/>
    <w:rsid w:val="00801EE0"/>
    <w:rsid w:val="008023DA"/>
    <w:rsid w:val="00803158"/>
    <w:rsid w:val="00803568"/>
    <w:rsid w:val="008166B7"/>
    <w:rsid w:val="00821396"/>
    <w:rsid w:val="0082288F"/>
    <w:rsid w:val="00831141"/>
    <w:rsid w:val="008341F2"/>
    <w:rsid w:val="00834272"/>
    <w:rsid w:val="008345FA"/>
    <w:rsid w:val="00837BCB"/>
    <w:rsid w:val="00840E31"/>
    <w:rsid w:val="00846480"/>
    <w:rsid w:val="008514A8"/>
    <w:rsid w:val="00852A45"/>
    <w:rsid w:val="00867D4C"/>
    <w:rsid w:val="00873A47"/>
    <w:rsid w:val="00873D7B"/>
    <w:rsid w:val="00875F7E"/>
    <w:rsid w:val="008777F6"/>
    <w:rsid w:val="00880119"/>
    <w:rsid w:val="0088094D"/>
    <w:rsid w:val="00882CC3"/>
    <w:rsid w:val="0088699F"/>
    <w:rsid w:val="00890E90"/>
    <w:rsid w:val="00893260"/>
    <w:rsid w:val="00895667"/>
    <w:rsid w:val="008A4E20"/>
    <w:rsid w:val="008A5AB7"/>
    <w:rsid w:val="008B1A1D"/>
    <w:rsid w:val="008B243E"/>
    <w:rsid w:val="008B5C70"/>
    <w:rsid w:val="008B61E8"/>
    <w:rsid w:val="008B7941"/>
    <w:rsid w:val="008C3977"/>
    <w:rsid w:val="008C3E9D"/>
    <w:rsid w:val="008C4935"/>
    <w:rsid w:val="008C5D1E"/>
    <w:rsid w:val="008D2A5F"/>
    <w:rsid w:val="008D6C9D"/>
    <w:rsid w:val="008E3F77"/>
    <w:rsid w:val="008E4512"/>
    <w:rsid w:val="008F09FB"/>
    <w:rsid w:val="008F17BD"/>
    <w:rsid w:val="009013BD"/>
    <w:rsid w:val="009020CC"/>
    <w:rsid w:val="00903D3C"/>
    <w:rsid w:val="0090711E"/>
    <w:rsid w:val="0091059B"/>
    <w:rsid w:val="0091135C"/>
    <w:rsid w:val="00911791"/>
    <w:rsid w:val="00915E6B"/>
    <w:rsid w:val="0091665C"/>
    <w:rsid w:val="009212C1"/>
    <w:rsid w:val="00930117"/>
    <w:rsid w:val="009322AE"/>
    <w:rsid w:val="009344A1"/>
    <w:rsid w:val="00940BD6"/>
    <w:rsid w:val="0094132D"/>
    <w:rsid w:val="00952BA4"/>
    <w:rsid w:val="00954863"/>
    <w:rsid w:val="00955830"/>
    <w:rsid w:val="00956524"/>
    <w:rsid w:val="00957F11"/>
    <w:rsid w:val="00963B5B"/>
    <w:rsid w:val="00964A66"/>
    <w:rsid w:val="009726BC"/>
    <w:rsid w:val="00974DE9"/>
    <w:rsid w:val="00975D8B"/>
    <w:rsid w:val="009767E9"/>
    <w:rsid w:val="009778E3"/>
    <w:rsid w:val="00977AB6"/>
    <w:rsid w:val="0098674F"/>
    <w:rsid w:val="00993E04"/>
    <w:rsid w:val="00995463"/>
    <w:rsid w:val="009971BB"/>
    <w:rsid w:val="0099794B"/>
    <w:rsid w:val="009A3F84"/>
    <w:rsid w:val="009B1AAB"/>
    <w:rsid w:val="009B335F"/>
    <w:rsid w:val="009C3941"/>
    <w:rsid w:val="009C539B"/>
    <w:rsid w:val="009C77B7"/>
    <w:rsid w:val="009D26FF"/>
    <w:rsid w:val="009D2AB2"/>
    <w:rsid w:val="009D3E8B"/>
    <w:rsid w:val="009E30BC"/>
    <w:rsid w:val="009E4D16"/>
    <w:rsid w:val="009E4E15"/>
    <w:rsid w:val="009E51A7"/>
    <w:rsid w:val="009F1C55"/>
    <w:rsid w:val="00A01CD2"/>
    <w:rsid w:val="00A10533"/>
    <w:rsid w:val="00A10677"/>
    <w:rsid w:val="00A119C6"/>
    <w:rsid w:val="00A14F67"/>
    <w:rsid w:val="00A27E6D"/>
    <w:rsid w:val="00A30A78"/>
    <w:rsid w:val="00A31725"/>
    <w:rsid w:val="00A35735"/>
    <w:rsid w:val="00A36357"/>
    <w:rsid w:val="00A36B30"/>
    <w:rsid w:val="00A36B62"/>
    <w:rsid w:val="00A36CF5"/>
    <w:rsid w:val="00A47F1F"/>
    <w:rsid w:val="00A50844"/>
    <w:rsid w:val="00A55D57"/>
    <w:rsid w:val="00A56864"/>
    <w:rsid w:val="00A611FF"/>
    <w:rsid w:val="00A63703"/>
    <w:rsid w:val="00A64F90"/>
    <w:rsid w:val="00A654C0"/>
    <w:rsid w:val="00A70A7E"/>
    <w:rsid w:val="00A71D65"/>
    <w:rsid w:val="00A73DF3"/>
    <w:rsid w:val="00A75F0B"/>
    <w:rsid w:val="00A76F0D"/>
    <w:rsid w:val="00A83007"/>
    <w:rsid w:val="00A84C88"/>
    <w:rsid w:val="00A92183"/>
    <w:rsid w:val="00A943E8"/>
    <w:rsid w:val="00A944AC"/>
    <w:rsid w:val="00A96153"/>
    <w:rsid w:val="00A9726A"/>
    <w:rsid w:val="00AA6745"/>
    <w:rsid w:val="00AB25ED"/>
    <w:rsid w:val="00AB2647"/>
    <w:rsid w:val="00AB385B"/>
    <w:rsid w:val="00AB469B"/>
    <w:rsid w:val="00AB6D22"/>
    <w:rsid w:val="00AC1131"/>
    <w:rsid w:val="00AC2998"/>
    <w:rsid w:val="00AC3201"/>
    <w:rsid w:val="00AC4EA1"/>
    <w:rsid w:val="00AC618C"/>
    <w:rsid w:val="00AD1B4C"/>
    <w:rsid w:val="00AD3173"/>
    <w:rsid w:val="00AD61F2"/>
    <w:rsid w:val="00AD66DC"/>
    <w:rsid w:val="00AD7544"/>
    <w:rsid w:val="00AE2920"/>
    <w:rsid w:val="00AE318F"/>
    <w:rsid w:val="00AF323E"/>
    <w:rsid w:val="00AF3F3B"/>
    <w:rsid w:val="00B03C33"/>
    <w:rsid w:val="00B12ADE"/>
    <w:rsid w:val="00B1768F"/>
    <w:rsid w:val="00B23E4E"/>
    <w:rsid w:val="00B2465C"/>
    <w:rsid w:val="00B247BD"/>
    <w:rsid w:val="00B24B1B"/>
    <w:rsid w:val="00B25DFD"/>
    <w:rsid w:val="00B270CB"/>
    <w:rsid w:val="00B32FDB"/>
    <w:rsid w:val="00B3772F"/>
    <w:rsid w:val="00B429ED"/>
    <w:rsid w:val="00B42A03"/>
    <w:rsid w:val="00B4419A"/>
    <w:rsid w:val="00B52950"/>
    <w:rsid w:val="00B530BF"/>
    <w:rsid w:val="00B53339"/>
    <w:rsid w:val="00B535D9"/>
    <w:rsid w:val="00B57BDF"/>
    <w:rsid w:val="00B6067E"/>
    <w:rsid w:val="00B71239"/>
    <w:rsid w:val="00B73014"/>
    <w:rsid w:val="00B73992"/>
    <w:rsid w:val="00B7564E"/>
    <w:rsid w:val="00B90135"/>
    <w:rsid w:val="00B912FC"/>
    <w:rsid w:val="00B927F6"/>
    <w:rsid w:val="00B929AA"/>
    <w:rsid w:val="00B946CB"/>
    <w:rsid w:val="00B94969"/>
    <w:rsid w:val="00B97581"/>
    <w:rsid w:val="00BA1816"/>
    <w:rsid w:val="00BA1E0C"/>
    <w:rsid w:val="00BA3ED5"/>
    <w:rsid w:val="00BA414F"/>
    <w:rsid w:val="00BA4CE2"/>
    <w:rsid w:val="00BB0F28"/>
    <w:rsid w:val="00BB21ED"/>
    <w:rsid w:val="00BB2B2C"/>
    <w:rsid w:val="00BB2D6B"/>
    <w:rsid w:val="00BB54E0"/>
    <w:rsid w:val="00BB7844"/>
    <w:rsid w:val="00BC5855"/>
    <w:rsid w:val="00BC6D6D"/>
    <w:rsid w:val="00BD00FC"/>
    <w:rsid w:val="00BD1FB9"/>
    <w:rsid w:val="00BD5249"/>
    <w:rsid w:val="00BF6032"/>
    <w:rsid w:val="00BF7749"/>
    <w:rsid w:val="00BF7C01"/>
    <w:rsid w:val="00C01760"/>
    <w:rsid w:val="00C0289E"/>
    <w:rsid w:val="00C06D94"/>
    <w:rsid w:val="00C07F4A"/>
    <w:rsid w:val="00C10E25"/>
    <w:rsid w:val="00C13B17"/>
    <w:rsid w:val="00C20007"/>
    <w:rsid w:val="00C21840"/>
    <w:rsid w:val="00C36673"/>
    <w:rsid w:val="00C3685D"/>
    <w:rsid w:val="00C37551"/>
    <w:rsid w:val="00C43089"/>
    <w:rsid w:val="00C4564A"/>
    <w:rsid w:val="00C462BF"/>
    <w:rsid w:val="00C53101"/>
    <w:rsid w:val="00C5683E"/>
    <w:rsid w:val="00C56BAA"/>
    <w:rsid w:val="00C61182"/>
    <w:rsid w:val="00C654C3"/>
    <w:rsid w:val="00C66F7C"/>
    <w:rsid w:val="00C71A88"/>
    <w:rsid w:val="00C7318C"/>
    <w:rsid w:val="00C7350F"/>
    <w:rsid w:val="00C74712"/>
    <w:rsid w:val="00C75444"/>
    <w:rsid w:val="00C75AFD"/>
    <w:rsid w:val="00C762B6"/>
    <w:rsid w:val="00C82426"/>
    <w:rsid w:val="00C83D53"/>
    <w:rsid w:val="00CA1774"/>
    <w:rsid w:val="00CA19CD"/>
    <w:rsid w:val="00CA1E07"/>
    <w:rsid w:val="00CA22BF"/>
    <w:rsid w:val="00CA2509"/>
    <w:rsid w:val="00CA68AA"/>
    <w:rsid w:val="00CA7BB1"/>
    <w:rsid w:val="00CA7F98"/>
    <w:rsid w:val="00CB53B9"/>
    <w:rsid w:val="00CC3706"/>
    <w:rsid w:val="00CC497A"/>
    <w:rsid w:val="00CC6322"/>
    <w:rsid w:val="00CD405F"/>
    <w:rsid w:val="00CE15BB"/>
    <w:rsid w:val="00CE38CB"/>
    <w:rsid w:val="00CE5537"/>
    <w:rsid w:val="00CF17EB"/>
    <w:rsid w:val="00CF18F1"/>
    <w:rsid w:val="00CF254F"/>
    <w:rsid w:val="00CF4AF4"/>
    <w:rsid w:val="00CF4FB7"/>
    <w:rsid w:val="00D00D33"/>
    <w:rsid w:val="00D0292C"/>
    <w:rsid w:val="00D04444"/>
    <w:rsid w:val="00D05A6A"/>
    <w:rsid w:val="00D10005"/>
    <w:rsid w:val="00D12449"/>
    <w:rsid w:val="00D129B2"/>
    <w:rsid w:val="00D15AF3"/>
    <w:rsid w:val="00D15FCB"/>
    <w:rsid w:val="00D16B5A"/>
    <w:rsid w:val="00D240FA"/>
    <w:rsid w:val="00D26DAD"/>
    <w:rsid w:val="00D327EB"/>
    <w:rsid w:val="00D34A88"/>
    <w:rsid w:val="00D34BD5"/>
    <w:rsid w:val="00D37E0C"/>
    <w:rsid w:val="00D42A20"/>
    <w:rsid w:val="00D45F33"/>
    <w:rsid w:val="00D5025F"/>
    <w:rsid w:val="00D5733D"/>
    <w:rsid w:val="00D600AD"/>
    <w:rsid w:val="00D6502A"/>
    <w:rsid w:val="00D66189"/>
    <w:rsid w:val="00D7027C"/>
    <w:rsid w:val="00D70FF0"/>
    <w:rsid w:val="00D720C1"/>
    <w:rsid w:val="00D72CA8"/>
    <w:rsid w:val="00D760EE"/>
    <w:rsid w:val="00D87A57"/>
    <w:rsid w:val="00D939BF"/>
    <w:rsid w:val="00D9569F"/>
    <w:rsid w:val="00DA3CB4"/>
    <w:rsid w:val="00DA4BA7"/>
    <w:rsid w:val="00DB1A78"/>
    <w:rsid w:val="00DC2568"/>
    <w:rsid w:val="00DC521C"/>
    <w:rsid w:val="00DD3DA4"/>
    <w:rsid w:val="00DE4BC5"/>
    <w:rsid w:val="00DE5D49"/>
    <w:rsid w:val="00DE6486"/>
    <w:rsid w:val="00DE7B06"/>
    <w:rsid w:val="00DF1581"/>
    <w:rsid w:val="00DF6A22"/>
    <w:rsid w:val="00DF7F79"/>
    <w:rsid w:val="00E001D0"/>
    <w:rsid w:val="00E006F8"/>
    <w:rsid w:val="00E024C9"/>
    <w:rsid w:val="00E057DF"/>
    <w:rsid w:val="00E05E1F"/>
    <w:rsid w:val="00E11A0F"/>
    <w:rsid w:val="00E162F1"/>
    <w:rsid w:val="00E16FB4"/>
    <w:rsid w:val="00E209F2"/>
    <w:rsid w:val="00E216AE"/>
    <w:rsid w:val="00E25CBA"/>
    <w:rsid w:val="00E31639"/>
    <w:rsid w:val="00E349DD"/>
    <w:rsid w:val="00E400E5"/>
    <w:rsid w:val="00E42735"/>
    <w:rsid w:val="00E4444D"/>
    <w:rsid w:val="00E51EC7"/>
    <w:rsid w:val="00E52E2C"/>
    <w:rsid w:val="00E563E3"/>
    <w:rsid w:val="00E61EE0"/>
    <w:rsid w:val="00E638C6"/>
    <w:rsid w:val="00E75C0F"/>
    <w:rsid w:val="00E803EA"/>
    <w:rsid w:val="00E82EC2"/>
    <w:rsid w:val="00E86459"/>
    <w:rsid w:val="00E91FF7"/>
    <w:rsid w:val="00E93A5E"/>
    <w:rsid w:val="00E9638C"/>
    <w:rsid w:val="00E97382"/>
    <w:rsid w:val="00EA166E"/>
    <w:rsid w:val="00EA2651"/>
    <w:rsid w:val="00EA2B46"/>
    <w:rsid w:val="00EA2D9C"/>
    <w:rsid w:val="00EA7111"/>
    <w:rsid w:val="00EB54C7"/>
    <w:rsid w:val="00EB5D6A"/>
    <w:rsid w:val="00EB66B1"/>
    <w:rsid w:val="00EB7392"/>
    <w:rsid w:val="00EC0903"/>
    <w:rsid w:val="00EC13E4"/>
    <w:rsid w:val="00EC4F46"/>
    <w:rsid w:val="00EC5202"/>
    <w:rsid w:val="00EC5813"/>
    <w:rsid w:val="00EC78A9"/>
    <w:rsid w:val="00ED0437"/>
    <w:rsid w:val="00ED2105"/>
    <w:rsid w:val="00ED3618"/>
    <w:rsid w:val="00ED3E75"/>
    <w:rsid w:val="00ED4CF4"/>
    <w:rsid w:val="00ED6A68"/>
    <w:rsid w:val="00EE2D8D"/>
    <w:rsid w:val="00EE70FF"/>
    <w:rsid w:val="00EF0B42"/>
    <w:rsid w:val="00EF3CB6"/>
    <w:rsid w:val="00EF50C8"/>
    <w:rsid w:val="00EF6441"/>
    <w:rsid w:val="00F01BC2"/>
    <w:rsid w:val="00F02691"/>
    <w:rsid w:val="00F02942"/>
    <w:rsid w:val="00F04502"/>
    <w:rsid w:val="00F06936"/>
    <w:rsid w:val="00F10A24"/>
    <w:rsid w:val="00F112B1"/>
    <w:rsid w:val="00F12E87"/>
    <w:rsid w:val="00F14546"/>
    <w:rsid w:val="00F17F16"/>
    <w:rsid w:val="00F2007C"/>
    <w:rsid w:val="00F33111"/>
    <w:rsid w:val="00F33FCD"/>
    <w:rsid w:val="00F340DC"/>
    <w:rsid w:val="00F34597"/>
    <w:rsid w:val="00F3592D"/>
    <w:rsid w:val="00F367F1"/>
    <w:rsid w:val="00F415D9"/>
    <w:rsid w:val="00F419B2"/>
    <w:rsid w:val="00F44CD5"/>
    <w:rsid w:val="00F46384"/>
    <w:rsid w:val="00F505FD"/>
    <w:rsid w:val="00F5382C"/>
    <w:rsid w:val="00F5591C"/>
    <w:rsid w:val="00F66099"/>
    <w:rsid w:val="00F710A8"/>
    <w:rsid w:val="00F71316"/>
    <w:rsid w:val="00F7212F"/>
    <w:rsid w:val="00F72C55"/>
    <w:rsid w:val="00F75391"/>
    <w:rsid w:val="00F761CB"/>
    <w:rsid w:val="00F804FC"/>
    <w:rsid w:val="00F8312E"/>
    <w:rsid w:val="00F8697D"/>
    <w:rsid w:val="00F90497"/>
    <w:rsid w:val="00F92BC4"/>
    <w:rsid w:val="00F941DA"/>
    <w:rsid w:val="00F95685"/>
    <w:rsid w:val="00FA088A"/>
    <w:rsid w:val="00FA23CB"/>
    <w:rsid w:val="00FA5238"/>
    <w:rsid w:val="00FA5809"/>
    <w:rsid w:val="00FA7130"/>
    <w:rsid w:val="00FB5F8F"/>
    <w:rsid w:val="00FB652F"/>
    <w:rsid w:val="00FB683B"/>
    <w:rsid w:val="00FB7E17"/>
    <w:rsid w:val="00FC613C"/>
    <w:rsid w:val="00FD1B06"/>
    <w:rsid w:val="00FD2840"/>
    <w:rsid w:val="00FD4CE7"/>
    <w:rsid w:val="00FD5457"/>
    <w:rsid w:val="00FD54EA"/>
    <w:rsid w:val="00FE1B66"/>
    <w:rsid w:val="00FE31E4"/>
    <w:rsid w:val="00FE36E3"/>
    <w:rsid w:val="00FE6E4F"/>
    <w:rsid w:val="00FF0B66"/>
    <w:rsid w:val="00FF53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873B006"/>
  <w15:docId w15:val="{EFA51588-2130-4623-A8E4-34D3D08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23E"/>
    <w:pPr>
      <w:spacing w:after="0" w:line="240" w:lineRule="auto"/>
    </w:pPr>
  </w:style>
  <w:style w:type="paragraph" w:styleId="Heading1">
    <w:name w:val="heading 1"/>
    <w:basedOn w:val="Normal"/>
    <w:next w:val="Normal"/>
    <w:link w:val="Heading1Char"/>
    <w:autoRedefine/>
    <w:uiPriority w:val="9"/>
    <w:qFormat/>
    <w:rsid w:val="00EA2D9C"/>
    <w:pPr>
      <w:keepNext/>
      <w:keepLines/>
      <w:pageBreakBefore/>
      <w:numPr>
        <w:numId w:val="27"/>
      </w:numPr>
      <w:ind w:left="567" w:hanging="567"/>
      <w:outlineLvl w:val="0"/>
    </w:pPr>
    <w:rPr>
      <w:rFonts w:eastAsiaTheme="majorEastAsia"/>
      <w:b/>
      <w:bCs/>
      <w:szCs w:val="28"/>
    </w:rPr>
  </w:style>
  <w:style w:type="paragraph" w:styleId="Heading2">
    <w:name w:val="heading 2"/>
    <w:basedOn w:val="Normal"/>
    <w:next w:val="Normal"/>
    <w:link w:val="Heading2Char"/>
    <w:autoRedefine/>
    <w:uiPriority w:val="9"/>
    <w:unhideWhenUsed/>
    <w:qFormat/>
    <w:rsid w:val="009F1C55"/>
    <w:pPr>
      <w:keepNext/>
      <w:keepLines/>
      <w:numPr>
        <w:ilvl w:val="1"/>
        <w:numId w:val="27"/>
      </w:numPr>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7C58A6"/>
    <w:pPr>
      <w:keepNext/>
      <w:keepLines/>
      <w:numPr>
        <w:ilvl w:val="2"/>
        <w:numId w:val="27"/>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27"/>
      </w:numPr>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27"/>
      </w:numPr>
      <w:spacing w:before="240" w:after="12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27"/>
      </w:numPr>
      <w:spacing w:before="240" w:after="12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27"/>
      </w:numPr>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27"/>
      </w:numPr>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27"/>
      </w:numPr>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A2D9C"/>
    <w:rPr>
      <w:rFonts w:eastAsiaTheme="majorEastAsia"/>
      <w:b/>
      <w:bCs/>
      <w:szCs w:val="28"/>
    </w:rPr>
  </w:style>
  <w:style w:type="character" w:customStyle="1" w:styleId="Heading2Char">
    <w:name w:val="Heading 2 Char"/>
    <w:basedOn w:val="DefaultParagraphFont"/>
    <w:link w:val="Heading2"/>
    <w:uiPriority w:val="9"/>
    <w:rsid w:val="009F1C55"/>
    <w:rPr>
      <w:rFonts w:eastAsiaTheme="majorEastAsia"/>
      <w:b/>
      <w:bCs/>
      <w:szCs w:val="26"/>
    </w:rPr>
  </w:style>
  <w:style w:type="character" w:customStyle="1" w:styleId="Heading3Char">
    <w:name w:val="Heading 3 Char"/>
    <w:basedOn w:val="DefaultParagraphFont"/>
    <w:link w:val="Heading3"/>
    <w:uiPriority w:val="9"/>
    <w:rsid w:val="007C58A6"/>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Texto"/>
    <w:basedOn w:val="Normal"/>
    <w:link w:val="FootnoteTextChar"/>
    <w:uiPriority w:val="99"/>
    <w:unhideWhenUsed/>
    <w:rsid w:val="0013277C"/>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13277C"/>
    <w:rPr>
      <w:sz w:val="20"/>
      <w:szCs w:val="20"/>
    </w:rPr>
  </w:style>
  <w:style w:type="character" w:styleId="FootnoteReference">
    <w:name w:val="footnote reference"/>
    <w:aliases w:val="Footnote Reference (Alt+R),Fn Ref,Footnote Refernece,callout,Footnotes refss,Appel note de bas de p.,Footnote Reference Superscript,BVI fnr,Footnote Reference Number,Footnote Refernece + (Latein) Arial,10 pt,Blau,4_G"/>
    <w:basedOn w:val="DefaultParagraphFont"/>
    <w:uiPriority w:val="99"/>
    <w:unhideWhenUsed/>
    <w:qFormat/>
    <w:rsid w:val="0013277C"/>
    <w:rPr>
      <w:vertAlign w:val="superscript"/>
    </w:rPr>
  </w:style>
  <w:style w:type="numbering" w:customStyle="1" w:styleId="Style1">
    <w:name w:val="Style1"/>
    <w:uiPriority w:val="99"/>
    <w:rsid w:val="00365193"/>
    <w:pPr>
      <w:numPr>
        <w:numId w:val="12"/>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A14F67"/>
    <w:pPr>
      <w:spacing w:after="100"/>
    </w:pPr>
  </w:style>
  <w:style w:type="paragraph" w:styleId="TOC2">
    <w:name w:val="toc 2"/>
    <w:basedOn w:val="Normal"/>
    <w:next w:val="Normal"/>
    <w:autoRedefine/>
    <w:uiPriority w:val="39"/>
    <w:unhideWhenUsed/>
    <w:rsid w:val="00A14F67"/>
    <w:pPr>
      <w:spacing w:after="100"/>
      <w:ind w:left="240"/>
    </w:pPr>
  </w:style>
  <w:style w:type="paragraph" w:styleId="TOC3">
    <w:name w:val="toc 3"/>
    <w:basedOn w:val="Normal"/>
    <w:next w:val="Normal"/>
    <w:autoRedefine/>
    <w:uiPriority w:val="39"/>
    <w:unhideWhenUsed/>
    <w:rsid w:val="00A14F67"/>
    <w:pPr>
      <w:spacing w:after="100"/>
      <w:ind w:left="480"/>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pPr>
      <w:spacing w:after="120"/>
    </w:pPr>
    <w:rPr>
      <w:i/>
      <w:sz w:val="20"/>
    </w:rPr>
  </w:style>
  <w:style w:type="character" w:customStyle="1" w:styleId="Un-numberedsubheadingChar">
    <w:name w:val="Un-numbered subheading Char"/>
    <w:basedOn w:val="BodyTextChar"/>
    <w:link w:val="Un-numberedsubheading"/>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34"/>
    <w:qFormat/>
    <w:rsid w:val="00BC5855"/>
    <w:pPr>
      <w:ind w:left="720"/>
      <w:contextualSpacing/>
    </w:pPr>
  </w:style>
  <w:style w:type="character" w:customStyle="1" w:styleId="Nevyeenzmnka1">
    <w:name w:val="Nevyřešená zmínka1"/>
    <w:basedOn w:val="DefaultParagraphFont"/>
    <w:uiPriority w:val="99"/>
    <w:semiHidden/>
    <w:unhideWhenUsed/>
    <w:rsid w:val="00895667"/>
    <w:rPr>
      <w:color w:val="605E5C"/>
      <w:shd w:val="clear" w:color="auto" w:fill="E1DFDD"/>
    </w:rPr>
  </w:style>
  <w:style w:type="paragraph" w:customStyle="1" w:styleId="Pa8">
    <w:name w:val="Pa8"/>
    <w:basedOn w:val="Normal"/>
    <w:next w:val="Normal"/>
    <w:uiPriority w:val="99"/>
    <w:rsid w:val="00356E4A"/>
    <w:pPr>
      <w:autoSpaceDE w:val="0"/>
      <w:autoSpaceDN w:val="0"/>
      <w:adjustRightInd w:val="0"/>
      <w:spacing w:line="155" w:lineRule="atLeast"/>
    </w:pPr>
    <w:rPr>
      <w:rFonts w:ascii="DaxlinePro-Medium" w:hAnsi="DaxlinePro-Medium"/>
    </w:rPr>
  </w:style>
  <w:style w:type="paragraph" w:customStyle="1" w:styleId="FootnoteRM">
    <w:name w:val="FootnoteRM"/>
    <w:basedOn w:val="FootnoteText"/>
    <w:link w:val="FootnoteRMChar"/>
    <w:qFormat/>
    <w:rsid w:val="00803158"/>
    <w:pPr>
      <w:ind w:left="284" w:hanging="284"/>
    </w:pPr>
    <w:rPr>
      <w:rFonts w:eastAsia="Calibri"/>
      <w:bCs/>
    </w:rPr>
  </w:style>
  <w:style w:type="character" w:customStyle="1" w:styleId="FootnoteRMChar">
    <w:name w:val="FootnoteRM Char"/>
    <w:basedOn w:val="FootnoteTextChar"/>
    <w:link w:val="FootnoteRM"/>
    <w:rsid w:val="00803158"/>
    <w:rPr>
      <w:rFonts w:eastAsia="Calibri"/>
      <w:bCs/>
      <w:sz w:val="20"/>
      <w:szCs w:val="20"/>
    </w:rPr>
  </w:style>
  <w:style w:type="character" w:customStyle="1" w:styleId="Nevyeenzmnka2">
    <w:name w:val="Nevyřešená zmínka2"/>
    <w:basedOn w:val="DefaultParagraphFont"/>
    <w:uiPriority w:val="99"/>
    <w:semiHidden/>
    <w:unhideWhenUsed/>
    <w:rsid w:val="000D7CD5"/>
    <w:rPr>
      <w:color w:val="808080"/>
      <w:shd w:val="clear" w:color="auto" w:fill="E6E6E6"/>
    </w:rPr>
  </w:style>
  <w:style w:type="paragraph" w:customStyle="1" w:styleId="Default">
    <w:name w:val="Default"/>
    <w:rsid w:val="00801EE0"/>
    <w:pPr>
      <w:autoSpaceDE w:val="0"/>
      <w:autoSpaceDN w:val="0"/>
      <w:adjustRightInd w:val="0"/>
      <w:spacing w:after="0" w:line="240" w:lineRule="auto"/>
    </w:pPr>
    <w:rPr>
      <w:rFonts w:ascii="Calibri" w:hAnsi="Calibri" w:cs="Calibri"/>
      <w:color w:val="000000"/>
    </w:rPr>
  </w:style>
  <w:style w:type="character" w:customStyle="1" w:styleId="Nevyeenzmnka3">
    <w:name w:val="Nevyřešená zmínka3"/>
    <w:basedOn w:val="DefaultParagraphFont"/>
    <w:uiPriority w:val="99"/>
    <w:semiHidden/>
    <w:unhideWhenUsed/>
    <w:rsid w:val="000E3D00"/>
    <w:rPr>
      <w:color w:val="808080"/>
      <w:shd w:val="clear" w:color="auto" w:fill="E6E6E6"/>
    </w:rPr>
  </w:style>
  <w:style w:type="table" w:customStyle="1" w:styleId="PlainTable11">
    <w:name w:val="Plain Table 11"/>
    <w:basedOn w:val="TableNormal"/>
    <w:uiPriority w:val="41"/>
    <w:rsid w:val="00875F7E"/>
    <w:pPr>
      <w:spacing w:after="0" w:line="240" w:lineRule="auto"/>
    </w:pPr>
    <w:rPr>
      <w:rFonts w:asciiTheme="minorHAnsi" w:hAnsiTheme="minorHAnsi" w:cstheme="minorBidi"/>
      <w:sz w:val="22"/>
      <w:szCs w:val="22"/>
      <w:lang w:val="cs-C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3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9419">
      <w:bodyDiv w:val="1"/>
      <w:marLeft w:val="0"/>
      <w:marRight w:val="0"/>
      <w:marTop w:val="0"/>
      <w:marBottom w:val="0"/>
      <w:divBdr>
        <w:top w:val="none" w:sz="0" w:space="0" w:color="auto"/>
        <w:left w:val="none" w:sz="0" w:space="0" w:color="auto"/>
        <w:bottom w:val="none" w:sz="0" w:space="0" w:color="auto"/>
        <w:right w:val="none" w:sz="0" w:space="0" w:color="auto"/>
      </w:divBdr>
    </w:div>
    <w:div w:id="224999048">
      <w:bodyDiv w:val="1"/>
      <w:marLeft w:val="0"/>
      <w:marRight w:val="0"/>
      <w:marTop w:val="0"/>
      <w:marBottom w:val="0"/>
      <w:divBdr>
        <w:top w:val="none" w:sz="0" w:space="0" w:color="auto"/>
        <w:left w:val="none" w:sz="0" w:space="0" w:color="auto"/>
        <w:bottom w:val="none" w:sz="0" w:space="0" w:color="auto"/>
        <w:right w:val="none" w:sz="0" w:space="0" w:color="auto"/>
      </w:divBdr>
    </w:div>
    <w:div w:id="340547200">
      <w:bodyDiv w:val="1"/>
      <w:marLeft w:val="0"/>
      <w:marRight w:val="0"/>
      <w:marTop w:val="0"/>
      <w:marBottom w:val="0"/>
      <w:divBdr>
        <w:top w:val="none" w:sz="0" w:space="0" w:color="auto"/>
        <w:left w:val="none" w:sz="0" w:space="0" w:color="auto"/>
        <w:bottom w:val="none" w:sz="0" w:space="0" w:color="auto"/>
        <w:right w:val="none" w:sz="0" w:space="0" w:color="auto"/>
      </w:divBdr>
    </w:div>
    <w:div w:id="486485007">
      <w:bodyDiv w:val="1"/>
      <w:marLeft w:val="0"/>
      <w:marRight w:val="0"/>
      <w:marTop w:val="0"/>
      <w:marBottom w:val="0"/>
      <w:divBdr>
        <w:top w:val="none" w:sz="0" w:space="0" w:color="auto"/>
        <w:left w:val="none" w:sz="0" w:space="0" w:color="auto"/>
        <w:bottom w:val="none" w:sz="0" w:space="0" w:color="auto"/>
        <w:right w:val="none" w:sz="0" w:space="0" w:color="auto"/>
      </w:divBdr>
    </w:div>
    <w:div w:id="645278349">
      <w:bodyDiv w:val="1"/>
      <w:marLeft w:val="0"/>
      <w:marRight w:val="0"/>
      <w:marTop w:val="0"/>
      <w:marBottom w:val="0"/>
      <w:divBdr>
        <w:top w:val="none" w:sz="0" w:space="0" w:color="auto"/>
        <w:left w:val="none" w:sz="0" w:space="0" w:color="auto"/>
        <w:bottom w:val="none" w:sz="0" w:space="0" w:color="auto"/>
        <w:right w:val="none" w:sz="0" w:space="0" w:color="auto"/>
      </w:divBdr>
    </w:div>
    <w:div w:id="765344783">
      <w:bodyDiv w:val="1"/>
      <w:marLeft w:val="0"/>
      <w:marRight w:val="0"/>
      <w:marTop w:val="0"/>
      <w:marBottom w:val="0"/>
      <w:divBdr>
        <w:top w:val="none" w:sz="0" w:space="0" w:color="auto"/>
        <w:left w:val="none" w:sz="0" w:space="0" w:color="auto"/>
        <w:bottom w:val="none" w:sz="0" w:space="0" w:color="auto"/>
        <w:right w:val="none" w:sz="0" w:space="0" w:color="auto"/>
      </w:divBdr>
    </w:div>
    <w:div w:id="817645665">
      <w:bodyDiv w:val="1"/>
      <w:marLeft w:val="0"/>
      <w:marRight w:val="0"/>
      <w:marTop w:val="0"/>
      <w:marBottom w:val="0"/>
      <w:divBdr>
        <w:top w:val="none" w:sz="0" w:space="0" w:color="auto"/>
        <w:left w:val="none" w:sz="0" w:space="0" w:color="auto"/>
        <w:bottom w:val="none" w:sz="0" w:space="0" w:color="auto"/>
        <w:right w:val="none" w:sz="0" w:space="0" w:color="auto"/>
      </w:divBdr>
    </w:div>
    <w:div w:id="820774622">
      <w:bodyDiv w:val="1"/>
      <w:marLeft w:val="0"/>
      <w:marRight w:val="0"/>
      <w:marTop w:val="0"/>
      <w:marBottom w:val="0"/>
      <w:divBdr>
        <w:top w:val="none" w:sz="0" w:space="0" w:color="auto"/>
        <w:left w:val="none" w:sz="0" w:space="0" w:color="auto"/>
        <w:bottom w:val="none" w:sz="0" w:space="0" w:color="auto"/>
        <w:right w:val="none" w:sz="0" w:space="0" w:color="auto"/>
      </w:divBdr>
    </w:div>
    <w:div w:id="936600524">
      <w:bodyDiv w:val="1"/>
      <w:marLeft w:val="0"/>
      <w:marRight w:val="0"/>
      <w:marTop w:val="0"/>
      <w:marBottom w:val="0"/>
      <w:divBdr>
        <w:top w:val="none" w:sz="0" w:space="0" w:color="auto"/>
        <w:left w:val="none" w:sz="0" w:space="0" w:color="auto"/>
        <w:bottom w:val="none" w:sz="0" w:space="0" w:color="auto"/>
        <w:right w:val="none" w:sz="0" w:space="0" w:color="auto"/>
      </w:divBdr>
    </w:div>
    <w:div w:id="1203714348">
      <w:bodyDiv w:val="1"/>
      <w:marLeft w:val="0"/>
      <w:marRight w:val="0"/>
      <w:marTop w:val="0"/>
      <w:marBottom w:val="0"/>
      <w:divBdr>
        <w:top w:val="none" w:sz="0" w:space="0" w:color="auto"/>
        <w:left w:val="none" w:sz="0" w:space="0" w:color="auto"/>
        <w:bottom w:val="none" w:sz="0" w:space="0" w:color="auto"/>
        <w:right w:val="none" w:sz="0" w:space="0" w:color="auto"/>
      </w:divBdr>
    </w:div>
    <w:div w:id="1531799574">
      <w:bodyDiv w:val="1"/>
      <w:marLeft w:val="0"/>
      <w:marRight w:val="0"/>
      <w:marTop w:val="0"/>
      <w:marBottom w:val="0"/>
      <w:divBdr>
        <w:top w:val="none" w:sz="0" w:space="0" w:color="auto"/>
        <w:left w:val="none" w:sz="0" w:space="0" w:color="auto"/>
        <w:bottom w:val="none" w:sz="0" w:space="0" w:color="auto"/>
        <w:right w:val="none" w:sz="0" w:space="0" w:color="auto"/>
      </w:divBdr>
    </w:div>
    <w:div w:id="1759208835">
      <w:bodyDiv w:val="1"/>
      <w:marLeft w:val="0"/>
      <w:marRight w:val="0"/>
      <w:marTop w:val="0"/>
      <w:marBottom w:val="0"/>
      <w:divBdr>
        <w:top w:val="none" w:sz="0" w:space="0" w:color="auto"/>
        <w:left w:val="none" w:sz="0" w:space="0" w:color="auto"/>
        <w:bottom w:val="none" w:sz="0" w:space="0" w:color="auto"/>
        <w:right w:val="none" w:sz="0" w:space="0" w:color="auto"/>
      </w:divBdr>
    </w:div>
    <w:div w:id="1819835572">
      <w:bodyDiv w:val="1"/>
      <w:marLeft w:val="0"/>
      <w:marRight w:val="0"/>
      <w:marTop w:val="0"/>
      <w:marBottom w:val="0"/>
      <w:divBdr>
        <w:top w:val="none" w:sz="0" w:space="0" w:color="auto"/>
        <w:left w:val="none" w:sz="0" w:space="0" w:color="auto"/>
        <w:bottom w:val="none" w:sz="0" w:space="0" w:color="auto"/>
        <w:right w:val="none" w:sz="0" w:space="0" w:color="auto"/>
      </w:divBdr>
    </w:div>
    <w:div w:id="19168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www.msmt.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6.xml"/><Relationship Id="rId10" Type="http://schemas.openxmlformats.org/officeDocument/2006/relationships/image" Target="media/image2.jpg"/><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podpora.odbory.info/soubory/dms/wysiwyg_uploads/013c67c033b59c8c/uploads/STUDIE_AKTUALNI_STAV_TRHU_PRACE_.pdf" TargetMode="External"/><Relationship Id="rId13" Type="http://schemas.openxmlformats.org/officeDocument/2006/relationships/hyperlink" Target="http://www.nrzp.cz/aktualne/informace-predsedy-nrzp-cr/1634-informace-c-100-2016-teze-koordinovane-rehabilitace.html" TargetMode="External"/><Relationship Id="rId18" Type="http://schemas.openxmlformats.org/officeDocument/2006/relationships/hyperlink" Target="http://www.msmt.cz/dokumenty-3/skolsky-zakon" TargetMode="External"/><Relationship Id="rId26" Type="http://schemas.openxmlformats.org/officeDocument/2006/relationships/hyperlink" Target="https://ec.europa.eu/info/sites/info/files/2018-european-semester-country-report-czech-republic-en.pdf" TargetMode="External"/><Relationship Id="rId39" Type="http://schemas.openxmlformats.org/officeDocument/2006/relationships/hyperlink" Target="https://www.mmr.cz/getmedia/91479512-707e-45ca-80ff-8ebbe28a5a0c/AJ_kostka_web.pdf" TargetMode="External"/><Relationship Id="rId3" Type="http://schemas.openxmlformats.org/officeDocument/2006/relationships/hyperlink" Target="https://www.vlada.cz/assets/ppov/vvzpo/dokumenty/Narodni-plan-OZP-2015-2020-revize-2018_2.docx" TargetMode="External"/><Relationship Id="rId21" Type="http://schemas.openxmlformats.org/officeDocument/2006/relationships/hyperlink" Target="https://www.vlada.cz/cz/ppov/vvzpo/dokumenty/narodni-plan-podpory-rovnych-prilezitosti-pro-osoby-se-zdravotnim-postizenim-na-obdobi-2015-2020-130992/" TargetMode="External"/><Relationship Id="rId34" Type="http://schemas.openxmlformats.org/officeDocument/2006/relationships/hyperlink" Target="http://www.trass.cz/wp-content/uploads/2015/10/Attributes.pdf" TargetMode="External"/><Relationship Id="rId42" Type="http://schemas.openxmlformats.org/officeDocument/2006/relationships/hyperlink" Target="https://www.mmr.cz/getmedia/91479512-707e-45ca-80ff-8ebbe28a5a0c/AJ_kostka_web.pdf" TargetMode="External"/><Relationship Id="rId7" Type="http://schemas.openxmlformats.org/officeDocument/2006/relationships/hyperlink" Target="https://www.czso.cz/csu/czso/vyberove-setreni-zdravotne-postizenych-osob-2013-qacmwuvwsb" TargetMode="External"/><Relationship Id="rId12" Type="http://schemas.openxmlformats.org/officeDocument/2006/relationships/hyperlink" Target="https://portal.mpsv.cz/sz/politikazamest/strateg_zam_2020/strategiepz2020.pdf" TargetMode="External"/><Relationship Id="rId17" Type="http://schemas.openxmlformats.org/officeDocument/2006/relationships/hyperlink" Target="https://www.vlada.cz/assets/ppov/vvzpo/dokumenty/Narodni-plan-OZP-2015-2020-revize-2017_1.pdf" TargetMode="External"/><Relationship Id="rId25" Type="http://schemas.openxmlformats.org/officeDocument/2006/relationships/hyperlink" Target="http://www.nrzp.cz/aktualne.html" TargetMode="External"/><Relationship Id="rId33" Type="http://schemas.openxmlformats.org/officeDocument/2006/relationships/hyperlink" Target="http://ec.europa.eu/social/main.jsp?langId=en&amp;catId=89&amp;newsId=614&amp;furtherNews=yes" TargetMode="External"/><Relationship Id="rId38" Type="http://schemas.openxmlformats.org/officeDocument/2006/relationships/hyperlink" Target="https://www.mmr.cz/getmedia/91479512-707e-45ca-80ff-8ebbe28a5a0c/AJ_kostka_web.pdf" TargetMode="External"/><Relationship Id="rId2" Type="http://schemas.openxmlformats.org/officeDocument/2006/relationships/hyperlink" Target="http://www.disability-europe.net/theme/statistical-indicators" TargetMode="External"/><Relationship Id="rId16" Type="http://schemas.openxmlformats.org/officeDocument/2006/relationships/hyperlink" Target="http://www.vupsv.cz/index.php?p=evaluation_of_aep&amp;site=default" TargetMode="External"/><Relationship Id="rId20" Type="http://schemas.openxmlformats.org/officeDocument/2006/relationships/hyperlink" Target="https://www.european-agency.org/data/czech-republic/datatable-overview" TargetMode="External"/><Relationship Id="rId29" Type="http://schemas.openxmlformats.org/officeDocument/2006/relationships/hyperlink" Target="http://www.strukturalni-fondy.cz/getmedia/a8d2b2ae-6acf-4abf-b282-c3c88174986d/ESI-fondy-v-kostce-3-vyd-web_1.pdf.aspx?ext=.pdf" TargetMode="External"/><Relationship Id="rId41" Type="http://schemas.openxmlformats.org/officeDocument/2006/relationships/hyperlink" Target="https://www.mmr.cz/getmedia/91479512-707e-45ca-80ff-8ebbe28a5a0c/AJ_kostka_web.pdf" TargetMode="External"/><Relationship Id="rId1" Type="http://schemas.openxmlformats.org/officeDocument/2006/relationships/hyperlink" Target="http://ec.europa.eu/eurostat/documents/4411192/4411431/Europe_2020_Targets.pdf" TargetMode="External"/><Relationship Id="rId6" Type="http://schemas.openxmlformats.org/officeDocument/2006/relationships/hyperlink" Target="https://www.mpsv.cz/cs/29623" TargetMode="External"/><Relationship Id="rId11" Type="http://schemas.openxmlformats.org/officeDocument/2006/relationships/hyperlink" Target="https://www.vlada.cz/assets/ppov/vvzpo/dokumenty/Narodni-plan-OZP-2015-2020-revize-2017_1.pdf" TargetMode="External"/><Relationship Id="rId24" Type="http://schemas.openxmlformats.org/officeDocument/2006/relationships/hyperlink" Target="http://www.nrzp.cz/aktualne/informace-predsedy-nrzp-cr/430-otevreny-dopis-predsedy-nrzp-cr-vaclava-krasy-ministru-prace-a-socialnich-veci-cr.html" TargetMode="External"/><Relationship Id="rId32" Type="http://schemas.openxmlformats.org/officeDocument/2006/relationships/hyperlink" Target="http://www.trass.cz/" TargetMode="External"/><Relationship Id="rId37" Type="http://schemas.openxmlformats.org/officeDocument/2006/relationships/hyperlink" Target="https://www.mmr.cz/getmedia/91479512-707e-45ca-80ff-8ebbe28a5a0c/AJ_kostka_web.pdf" TargetMode="External"/><Relationship Id="rId40" Type="http://schemas.openxmlformats.org/officeDocument/2006/relationships/hyperlink" Target="https://www.mmr.cz/getmedia/91479512-707e-45ca-80ff-8ebbe28a5a0c/AJ_kostka_web.pdf" TargetMode="External"/><Relationship Id="rId5" Type="http://schemas.openxmlformats.org/officeDocument/2006/relationships/hyperlink" Target="http://www.mpsv.cz/files/clanky/19478/Strategie_EN.pdf" TargetMode="External"/><Relationship Id="rId15" Type="http://schemas.openxmlformats.org/officeDocument/2006/relationships/hyperlink" Target="http://www.nfozp.cz/download/Odborn--studie---OZP-na-trhu-pr-ce-v--R---ASO---final.pdf" TargetMode="External"/><Relationship Id="rId23" Type="http://schemas.openxmlformats.org/officeDocument/2006/relationships/hyperlink" Target="https://www.zakonyprolidi.cz/cs/2009-359" TargetMode="External"/><Relationship Id="rId28" Type="http://schemas.openxmlformats.org/officeDocument/2006/relationships/hyperlink" Target="http://www.strukturalni-fondy.cz/getmedia/a8d2b2ae-6acf-4abf-b282-c3c88174986d/ESI-fondy-v-kostce-3-vyd-web_1.pdf.aspx?ext=.pdf" TargetMode="External"/><Relationship Id="rId36" Type="http://schemas.openxmlformats.org/officeDocument/2006/relationships/hyperlink" Target="https://www.mmr.cz/getmedia/91479512-707e-45ca-80ff-8ebbe28a5a0c/AJ_kostka_web.pdf" TargetMode="External"/><Relationship Id="rId10" Type="http://schemas.openxmlformats.org/officeDocument/2006/relationships/hyperlink" Target="http://www.nfozp.cz/download/Odborn--studie---OZP-na-trhu-pr-ce-v--R---ASO---final.pdf" TargetMode="External"/><Relationship Id="rId19" Type="http://schemas.openxmlformats.org/officeDocument/2006/relationships/hyperlink" Target="https://www.vlada.cz/assets/ppov/vvzpo/dokumenty/Narodni-plan-OZP-2015-2020-revize-2017_1.pdf" TargetMode="External"/><Relationship Id="rId31" Type="http://schemas.openxmlformats.org/officeDocument/2006/relationships/hyperlink" Target="http://www.inkluze.upol.cz" TargetMode="External"/><Relationship Id="rId44" Type="http://schemas.openxmlformats.org/officeDocument/2006/relationships/hyperlink" Target="http://www.disability-europe.net/theme/statistical-indicators" TargetMode="External"/><Relationship Id="rId4" Type="http://schemas.openxmlformats.org/officeDocument/2006/relationships/hyperlink" Target="https://www.czso.cz/csu/czso/vyberove-setreni-zdravotne-postizenych-osob-2013-qacmwuvwsb" TargetMode="External"/><Relationship Id="rId9" Type="http://schemas.openxmlformats.org/officeDocument/2006/relationships/hyperlink" Target="https://portal.mpsv.cz/sz/politikazamest/strateg_zam_2020/strategiepz2020.pdf" TargetMode="External"/><Relationship Id="rId14" Type="http://schemas.openxmlformats.org/officeDocument/2006/relationships/hyperlink" Target="http://www.nrzp.cz/aktualne/informace-predsedy-nrzp-cr/1634-informace-c-100-2016-teze-koordinovane-rehabilitace.html" TargetMode="External"/><Relationship Id="rId22" Type="http://schemas.openxmlformats.org/officeDocument/2006/relationships/hyperlink" Target="http://www.pracepropravniky.cz/zakony/zakonik-prace-uplne-zneni" TargetMode="External"/><Relationship Id="rId27" Type="http://schemas.openxmlformats.org/officeDocument/2006/relationships/hyperlink" Target="https://ec.europa.eu/info/sites/info/files/2018-european-semester-national-reform-programme-czech-republic-en.pdf" TargetMode="External"/><Relationship Id="rId30" Type="http://schemas.openxmlformats.org/officeDocument/2006/relationships/hyperlink" Target="http://www.strukturalni-fondy.cz/getmedia/df74be49-92c0-434b-9b71-1fccd21dad18/letak-bez-vnitrnich-stran-TISK.pdf.aspx?ext=.pdf" TargetMode="External"/><Relationship Id="rId35" Type="http://schemas.openxmlformats.org/officeDocument/2006/relationships/hyperlink" Target="http://www.strukturalni-fondy.cz/en/Statistiky-a-analyzy/Indikatory?Text=&amp;Tema=Social%20Issues%20&amp;Obdobi=0" TargetMode="External"/><Relationship Id="rId43" Type="http://schemas.openxmlformats.org/officeDocument/2006/relationships/hyperlink" Target="http://epp.eurostat.ec.europa.eu/statistics_explained/index.php/Glossary:Minimum_European_Health_Module_(MEH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Sheet1!$B$2:$B$9</c:f>
              <c:numCache>
                <c:formatCode>0.0</c:formatCode>
                <c:ptCount val="8"/>
                <c:pt idx="0">
                  <c:v>75.900000000000006</c:v>
                </c:pt>
                <c:pt idx="1">
                  <c:v>24.1</c:v>
                </c:pt>
                <c:pt idx="2">
                  <c:v>7.46</c:v>
                </c:pt>
                <c:pt idx="3">
                  <c:v>16.64</c:v>
                </c:pt>
                <c:pt idx="4">
                  <c:v>21.76</c:v>
                </c:pt>
                <c:pt idx="5">
                  <c:v>26.28</c:v>
                </c:pt>
                <c:pt idx="6">
                  <c:v>16.989999999999998</c:v>
                </c:pt>
                <c:pt idx="7">
                  <c:v>47.49</c:v>
                </c:pt>
              </c:numCache>
            </c:numRef>
          </c:val>
          <c:extLst>
            <c:ext xmlns:c16="http://schemas.microsoft.com/office/drawing/2014/chart" uri="{C3380CC4-5D6E-409C-BE32-E72D297353CC}">
              <c16:uniqueId val="{00000000-CB64-4FB9-94AA-053D7B473222}"/>
            </c:ext>
          </c:extLst>
        </c:ser>
        <c:ser>
          <c:idx val="1"/>
          <c:order val="1"/>
          <c:tx>
            <c:strRef>
              <c:f>Sheet1!$C$1</c:f>
              <c:strCache>
                <c:ptCount val="1"/>
                <c:pt idx="0">
                  <c:v>National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Sheet1!$C$2:$C$9</c:f>
              <c:numCache>
                <c:formatCode>0.0</c:formatCode>
                <c:ptCount val="8"/>
                <c:pt idx="0">
                  <c:v>74.78</c:v>
                </c:pt>
                <c:pt idx="1">
                  <c:v>25.22</c:v>
                </c:pt>
                <c:pt idx="2">
                  <c:v>5.96</c:v>
                </c:pt>
                <c:pt idx="3">
                  <c:v>19.27</c:v>
                </c:pt>
                <c:pt idx="4">
                  <c:v>23.33</c:v>
                </c:pt>
                <c:pt idx="5">
                  <c:v>26.56</c:v>
                </c:pt>
                <c:pt idx="6">
                  <c:v>16.739999999999998</c:v>
                </c:pt>
                <c:pt idx="7">
                  <c:v>48.69</c:v>
                </c:pt>
              </c:numCache>
            </c:numRef>
          </c:val>
          <c:extLst>
            <c:ext xmlns:c16="http://schemas.microsoft.com/office/drawing/2014/chart" uri="{C3380CC4-5D6E-409C-BE32-E72D297353CC}">
              <c16:uniqueId val="{00000001-CB64-4FB9-94AA-053D7B473222}"/>
            </c:ext>
          </c:extLst>
        </c:ser>
        <c:dLbls>
          <c:showLegendKey val="0"/>
          <c:showVal val="0"/>
          <c:showCatName val="0"/>
          <c:showSerName val="0"/>
          <c:showPercent val="0"/>
          <c:showBubbleSize val="0"/>
        </c:dLbls>
        <c:gapWidth val="150"/>
        <c:axId val="117157888"/>
        <c:axId val="117159424"/>
      </c:barChart>
      <c:catAx>
        <c:axId val="117157888"/>
        <c:scaling>
          <c:orientation val="maxMin"/>
        </c:scaling>
        <c:delete val="0"/>
        <c:axPos val="l"/>
        <c:numFmt formatCode="General" sourceLinked="1"/>
        <c:majorTickMark val="none"/>
        <c:minorTickMark val="none"/>
        <c:tickLblPos val="nextTo"/>
        <c:crossAx val="117159424"/>
        <c:crosses val="autoZero"/>
        <c:auto val="1"/>
        <c:lblAlgn val="ctr"/>
        <c:lblOffset val="100"/>
        <c:noMultiLvlLbl val="0"/>
      </c:catAx>
      <c:valAx>
        <c:axId val="117159424"/>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1171578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Trends in economic activity rates</a:t>
            </a:r>
          </a:p>
        </c:rich>
      </c:tx>
      <c:overlay val="0"/>
    </c:title>
    <c:autoTitleDeleted val="0"/>
    <c:plotArea>
      <c:layout/>
      <c:lineChart>
        <c:grouping val="standard"/>
        <c:varyColors val="0"/>
        <c:ser>
          <c:idx val="0"/>
          <c:order val="0"/>
          <c:tx>
            <c:strRef>
              <c:f>Sheet1!$B$1</c:f>
              <c:strCache>
                <c:ptCount val="1"/>
                <c:pt idx="0">
                  <c:v>National (disabled)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49.8</c:v>
                </c:pt>
                <c:pt idx="1">
                  <c:v>50.4</c:v>
                </c:pt>
                <c:pt idx="2">
                  <c:v>49.5</c:v>
                </c:pt>
                <c:pt idx="3">
                  <c:v>49.2</c:v>
                </c:pt>
                <c:pt idx="4">
                  <c:v>50.3</c:v>
                </c:pt>
                <c:pt idx="5">
                  <c:v>52.7</c:v>
                </c:pt>
                <c:pt idx="6">
                  <c:v>54.3</c:v>
                </c:pt>
                <c:pt idx="7">
                  <c:v>56.5</c:v>
                </c:pt>
                <c:pt idx="8">
                  <c:v>58.51</c:v>
                </c:pt>
              </c:numCache>
            </c:numRef>
          </c:val>
          <c:smooth val="0"/>
          <c:extLst>
            <c:ext xmlns:c16="http://schemas.microsoft.com/office/drawing/2014/chart" uri="{C3380CC4-5D6E-409C-BE32-E72D297353CC}">
              <c16:uniqueId val="{00000000-7C77-41A4-AEB5-911563E5163E}"/>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80.3</c:v>
                </c:pt>
                <c:pt idx="1">
                  <c:v>79.900000000000006</c:v>
                </c:pt>
                <c:pt idx="2">
                  <c:v>79.400000000000006</c:v>
                </c:pt>
                <c:pt idx="3">
                  <c:v>78.8</c:v>
                </c:pt>
                <c:pt idx="4">
                  <c:v>79.400000000000006</c:v>
                </c:pt>
                <c:pt idx="5">
                  <c:v>81.3</c:v>
                </c:pt>
                <c:pt idx="6">
                  <c:v>82</c:v>
                </c:pt>
                <c:pt idx="7">
                  <c:v>82.4</c:v>
                </c:pt>
                <c:pt idx="8">
                  <c:v>81.97</c:v>
                </c:pt>
              </c:numCache>
            </c:numRef>
          </c:val>
          <c:smooth val="0"/>
          <c:extLst>
            <c:ext xmlns:c16="http://schemas.microsoft.com/office/drawing/2014/chart" uri="{C3380CC4-5D6E-409C-BE32-E72D297353CC}">
              <c16:uniqueId val="{00000001-7C77-41A4-AEB5-911563E5163E}"/>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75</c:v>
                </c:pt>
                <c:pt idx="1">
                  <c:v>75.3</c:v>
                </c:pt>
                <c:pt idx="2">
                  <c:v>75.400000000000006</c:v>
                </c:pt>
                <c:pt idx="3">
                  <c:v>75.8</c:v>
                </c:pt>
                <c:pt idx="4">
                  <c:v>76.3</c:v>
                </c:pt>
                <c:pt idx="5">
                  <c:v>76.8</c:v>
                </c:pt>
                <c:pt idx="6">
                  <c:v>77.5</c:v>
                </c:pt>
                <c:pt idx="7">
                  <c:v>77.7</c:v>
                </c:pt>
                <c:pt idx="8">
                  <c:v>78.2</c:v>
                </c:pt>
              </c:numCache>
            </c:numRef>
          </c:val>
          <c:smooth val="0"/>
          <c:extLst>
            <c:ext xmlns:c16="http://schemas.microsoft.com/office/drawing/2014/chart" uri="{C3380CC4-5D6E-409C-BE32-E72D297353CC}">
              <c16:uniqueId val="{00000002-7C77-41A4-AEB5-911563E5163E}"/>
            </c:ext>
          </c:extLst>
        </c:ser>
        <c:dLbls>
          <c:showLegendKey val="0"/>
          <c:showVal val="0"/>
          <c:showCatName val="0"/>
          <c:showSerName val="0"/>
          <c:showPercent val="0"/>
          <c:showBubbleSize val="0"/>
        </c:dLbls>
        <c:marker val="1"/>
        <c:smooth val="0"/>
        <c:axId val="127113472"/>
        <c:axId val="127115264"/>
      </c:lineChart>
      <c:catAx>
        <c:axId val="127113472"/>
        <c:scaling>
          <c:orientation val="minMax"/>
        </c:scaling>
        <c:delete val="0"/>
        <c:axPos val="b"/>
        <c:numFmt formatCode="General" sourceLinked="1"/>
        <c:majorTickMark val="none"/>
        <c:minorTickMark val="none"/>
        <c:tickLblPos val="nextTo"/>
        <c:crossAx val="127115264"/>
        <c:crosses val="autoZero"/>
        <c:auto val="1"/>
        <c:lblAlgn val="ctr"/>
        <c:lblOffset val="100"/>
        <c:noMultiLvlLbl val="0"/>
      </c:catAx>
      <c:valAx>
        <c:axId val="127115264"/>
        <c:scaling>
          <c:orientation val="minMax"/>
          <c:max val="90"/>
          <c:min val="2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1134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22.7</c:v>
                </c:pt>
                <c:pt idx="1">
                  <c:v>11.7</c:v>
                </c:pt>
                <c:pt idx="2">
                  <c:v>24.2</c:v>
                </c:pt>
                <c:pt idx="3">
                  <c:v>12.4</c:v>
                </c:pt>
              </c:numCache>
            </c:numRef>
          </c:val>
          <c:extLst>
            <c:ext xmlns:c16="http://schemas.microsoft.com/office/drawing/2014/chart" uri="{C3380CC4-5D6E-409C-BE32-E72D297353CC}">
              <c16:uniqueId val="{00000000-19AC-4D65-B6CC-12BB00327E7B}"/>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8.5966666666666658</c:v>
                </c:pt>
                <c:pt idx="1">
                  <c:v>6.586666666666666</c:v>
                </c:pt>
                <c:pt idx="2">
                  <c:v>12.15</c:v>
                </c:pt>
                <c:pt idx="3">
                  <c:v>6.68</c:v>
                </c:pt>
              </c:numCache>
            </c:numRef>
          </c:val>
          <c:extLst>
            <c:ext xmlns:c16="http://schemas.microsoft.com/office/drawing/2014/chart" uri="{C3380CC4-5D6E-409C-BE32-E72D297353CC}">
              <c16:uniqueId val="{00000001-19AC-4D65-B6CC-12BB00327E7B}"/>
            </c:ext>
          </c:extLst>
        </c:ser>
        <c:dLbls>
          <c:showLegendKey val="0"/>
          <c:showVal val="0"/>
          <c:showCatName val="0"/>
          <c:showSerName val="0"/>
          <c:showPercent val="0"/>
          <c:showBubbleSize val="0"/>
        </c:dLbls>
        <c:gapWidth val="150"/>
        <c:axId val="127036416"/>
        <c:axId val="127042304"/>
      </c:barChart>
      <c:catAx>
        <c:axId val="127036416"/>
        <c:scaling>
          <c:orientation val="minMax"/>
        </c:scaling>
        <c:delete val="0"/>
        <c:axPos val="b"/>
        <c:numFmt formatCode="General" sourceLinked="1"/>
        <c:majorTickMark val="none"/>
        <c:minorTickMark val="none"/>
        <c:tickLblPos val="nextTo"/>
        <c:crossAx val="127042304"/>
        <c:crosses val="autoZero"/>
        <c:auto val="1"/>
        <c:lblAlgn val="ctr"/>
        <c:lblOffset val="100"/>
        <c:noMultiLvlLbl val="0"/>
      </c:catAx>
      <c:valAx>
        <c:axId val="12704230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0364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30.08</c:v>
                </c:pt>
                <c:pt idx="1">
                  <c:v>43.036666666666662</c:v>
                </c:pt>
                <c:pt idx="2">
                  <c:v>27.896666666666665</c:v>
                </c:pt>
                <c:pt idx="3">
                  <c:v>41.373333333333328</c:v>
                </c:pt>
              </c:numCache>
            </c:numRef>
          </c:val>
          <c:extLst>
            <c:ext xmlns:c16="http://schemas.microsoft.com/office/drawing/2014/chart" uri="{C3380CC4-5D6E-409C-BE32-E72D297353CC}">
              <c16:uniqueId val="{00000000-8482-4CE8-9A6D-5058604AEFE4}"/>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19.666666666666668</c:v>
                </c:pt>
                <c:pt idx="1">
                  <c:v>37.333333333333336</c:v>
                </c:pt>
                <c:pt idx="2">
                  <c:v>16.826666666666668</c:v>
                </c:pt>
                <c:pt idx="3">
                  <c:v>30.886666666666667</c:v>
                </c:pt>
              </c:numCache>
            </c:numRef>
          </c:val>
          <c:extLst>
            <c:ext xmlns:c16="http://schemas.microsoft.com/office/drawing/2014/chart" uri="{C3380CC4-5D6E-409C-BE32-E72D297353CC}">
              <c16:uniqueId val="{00000001-8482-4CE8-9A6D-5058604AEFE4}"/>
            </c:ext>
          </c:extLst>
        </c:ser>
        <c:dLbls>
          <c:showLegendKey val="0"/>
          <c:showVal val="0"/>
          <c:showCatName val="0"/>
          <c:showSerName val="0"/>
          <c:showPercent val="0"/>
          <c:showBubbleSize val="0"/>
        </c:dLbls>
        <c:gapWidth val="150"/>
        <c:axId val="126685568"/>
        <c:axId val="126687104"/>
      </c:barChart>
      <c:catAx>
        <c:axId val="126685568"/>
        <c:scaling>
          <c:orientation val="minMax"/>
        </c:scaling>
        <c:delete val="0"/>
        <c:axPos val="b"/>
        <c:numFmt formatCode="General" sourceLinked="1"/>
        <c:majorTickMark val="none"/>
        <c:minorTickMark val="none"/>
        <c:tickLblPos val="nextTo"/>
        <c:crossAx val="126687104"/>
        <c:crosses val="autoZero"/>
        <c:auto val="1"/>
        <c:lblAlgn val="ctr"/>
        <c:lblOffset val="100"/>
        <c:noMultiLvlLbl val="0"/>
      </c:catAx>
      <c:valAx>
        <c:axId val="12668710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668556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25.83</c:v>
                </c:pt>
                <c:pt idx="1">
                  <c:v>8.2799999999999994</c:v>
                </c:pt>
                <c:pt idx="2">
                  <c:v>23.32</c:v>
                </c:pt>
                <c:pt idx="3">
                  <c:v>16.13</c:v>
                </c:pt>
                <c:pt idx="4">
                  <c:v>13.39</c:v>
                </c:pt>
                <c:pt idx="5">
                  <c:v>6.65</c:v>
                </c:pt>
              </c:numCache>
            </c:numRef>
          </c:val>
          <c:extLst>
            <c:ext xmlns:c16="http://schemas.microsoft.com/office/drawing/2014/chart" uri="{C3380CC4-5D6E-409C-BE32-E72D297353CC}">
              <c16:uniqueId val="{00000000-A5B7-4FDD-84B8-63470FB759D3}"/>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22.28</c:v>
                </c:pt>
                <c:pt idx="1">
                  <c:v>4.4800000000000004</c:v>
                </c:pt>
                <c:pt idx="2">
                  <c:v>17.66</c:v>
                </c:pt>
                <c:pt idx="3">
                  <c:v>8.07</c:v>
                </c:pt>
                <c:pt idx="4">
                  <c:v>10.81</c:v>
                </c:pt>
                <c:pt idx="5">
                  <c:v>4.1900000000000004</c:v>
                </c:pt>
              </c:numCache>
            </c:numRef>
          </c:val>
          <c:extLst>
            <c:ext xmlns:c16="http://schemas.microsoft.com/office/drawing/2014/chart" uri="{C3380CC4-5D6E-409C-BE32-E72D297353CC}">
              <c16:uniqueId val="{00000001-A5B7-4FDD-84B8-63470FB759D3}"/>
            </c:ext>
          </c:extLst>
        </c:ser>
        <c:dLbls>
          <c:showLegendKey val="0"/>
          <c:showVal val="0"/>
          <c:showCatName val="0"/>
          <c:showSerName val="0"/>
          <c:showPercent val="0"/>
          <c:showBubbleSize val="0"/>
        </c:dLbls>
        <c:gapWidth val="150"/>
        <c:axId val="127185664"/>
        <c:axId val="127187200"/>
      </c:barChart>
      <c:catAx>
        <c:axId val="127185664"/>
        <c:scaling>
          <c:orientation val="minMax"/>
        </c:scaling>
        <c:delete val="0"/>
        <c:axPos val="b"/>
        <c:numFmt formatCode="General" sourceLinked="1"/>
        <c:majorTickMark val="none"/>
        <c:minorTickMark val="none"/>
        <c:tickLblPos val="nextTo"/>
        <c:crossAx val="127187200"/>
        <c:crosses val="autoZero"/>
        <c:auto val="1"/>
        <c:lblAlgn val="ctr"/>
        <c:lblOffset val="100"/>
        <c:noMultiLvlLbl val="0"/>
      </c:catAx>
      <c:valAx>
        <c:axId val="1271872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185664"/>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20.89</c:v>
                </c:pt>
                <c:pt idx="1">
                  <c:v>27.25</c:v>
                </c:pt>
                <c:pt idx="2">
                  <c:v>36.4</c:v>
                </c:pt>
                <c:pt idx="3">
                  <c:v>30.82</c:v>
                </c:pt>
                <c:pt idx="4">
                  <c:v>29.13</c:v>
                </c:pt>
                <c:pt idx="5">
                  <c:v>21.93</c:v>
                </c:pt>
                <c:pt idx="6">
                  <c:v>19.84</c:v>
                </c:pt>
              </c:numCache>
            </c:numRef>
          </c:val>
          <c:extLst>
            <c:ext xmlns:c16="http://schemas.microsoft.com/office/drawing/2014/chart" uri="{C3380CC4-5D6E-409C-BE32-E72D297353CC}">
              <c16:uniqueId val="{00000000-0A89-422A-B763-78ADF626DC05}"/>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10.73</c:v>
                </c:pt>
                <c:pt idx="1">
                  <c:v>19.010000000000002</c:v>
                </c:pt>
                <c:pt idx="2">
                  <c:v>27.85</c:v>
                </c:pt>
                <c:pt idx="3">
                  <c:v>22.33</c:v>
                </c:pt>
                <c:pt idx="4">
                  <c:v>19.11</c:v>
                </c:pt>
                <c:pt idx="5">
                  <c:v>12.25</c:v>
                </c:pt>
                <c:pt idx="6">
                  <c:v>8.67</c:v>
                </c:pt>
              </c:numCache>
            </c:numRef>
          </c:val>
          <c:extLst>
            <c:ext xmlns:c16="http://schemas.microsoft.com/office/drawing/2014/chart" uri="{C3380CC4-5D6E-409C-BE32-E72D297353CC}">
              <c16:uniqueId val="{00000001-0A89-422A-B763-78ADF626DC05}"/>
            </c:ext>
          </c:extLst>
        </c:ser>
        <c:dLbls>
          <c:showLegendKey val="0"/>
          <c:showVal val="0"/>
          <c:showCatName val="0"/>
          <c:showSerName val="0"/>
          <c:showPercent val="0"/>
          <c:showBubbleSize val="0"/>
        </c:dLbls>
        <c:gapWidth val="150"/>
        <c:axId val="127267968"/>
        <c:axId val="127269504"/>
      </c:barChart>
      <c:catAx>
        <c:axId val="127267968"/>
        <c:scaling>
          <c:orientation val="minMax"/>
        </c:scaling>
        <c:delete val="0"/>
        <c:axPos val="b"/>
        <c:numFmt formatCode="General" sourceLinked="1"/>
        <c:majorTickMark val="none"/>
        <c:minorTickMark val="none"/>
        <c:tickLblPos val="nextTo"/>
        <c:crossAx val="127269504"/>
        <c:crosses val="autoZero"/>
        <c:auto val="1"/>
        <c:lblAlgn val="ctr"/>
        <c:lblOffset val="100"/>
        <c:noMultiLvlLbl val="0"/>
      </c:catAx>
      <c:valAx>
        <c:axId val="12726950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267968"/>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37.549999999999997</c:v>
                </c:pt>
                <c:pt idx="1">
                  <c:v>21.92</c:v>
                </c:pt>
                <c:pt idx="2">
                  <c:v>20.99</c:v>
                </c:pt>
                <c:pt idx="3">
                  <c:v>15.35</c:v>
                </c:pt>
              </c:numCache>
            </c:numRef>
          </c:val>
          <c:extLst>
            <c:ext xmlns:c16="http://schemas.microsoft.com/office/drawing/2014/chart" uri="{C3380CC4-5D6E-409C-BE32-E72D297353CC}">
              <c16:uniqueId val="{00000000-A232-41AB-AFD4-BE6D08D5455E}"/>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29.02</c:v>
                </c:pt>
                <c:pt idx="1">
                  <c:v>10.95</c:v>
                </c:pt>
                <c:pt idx="2">
                  <c:v>13.27</c:v>
                </c:pt>
                <c:pt idx="3">
                  <c:v>9.73</c:v>
                </c:pt>
              </c:numCache>
            </c:numRef>
          </c:val>
          <c:extLst>
            <c:ext xmlns:c16="http://schemas.microsoft.com/office/drawing/2014/chart" uri="{C3380CC4-5D6E-409C-BE32-E72D297353CC}">
              <c16:uniqueId val="{00000001-A232-41AB-AFD4-BE6D08D5455E}"/>
            </c:ext>
          </c:extLst>
        </c:ser>
        <c:dLbls>
          <c:showLegendKey val="0"/>
          <c:showVal val="0"/>
          <c:showCatName val="0"/>
          <c:showSerName val="0"/>
          <c:showPercent val="0"/>
          <c:showBubbleSize val="0"/>
        </c:dLbls>
        <c:gapWidth val="150"/>
        <c:axId val="127317504"/>
        <c:axId val="127319040"/>
      </c:barChart>
      <c:catAx>
        <c:axId val="127317504"/>
        <c:scaling>
          <c:orientation val="minMax"/>
        </c:scaling>
        <c:delete val="0"/>
        <c:axPos val="b"/>
        <c:numFmt formatCode="General" sourceLinked="1"/>
        <c:majorTickMark val="none"/>
        <c:minorTickMark val="none"/>
        <c:tickLblPos val="nextTo"/>
        <c:crossAx val="127319040"/>
        <c:crosses val="autoZero"/>
        <c:auto val="1"/>
        <c:lblAlgn val="ctr"/>
        <c:lblOffset val="100"/>
        <c:noMultiLvlLbl val="0"/>
      </c:catAx>
      <c:valAx>
        <c:axId val="12731904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3175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30</c:v>
                </c:pt>
                <c:pt idx="1">
                  <c:v>28.1</c:v>
                </c:pt>
                <c:pt idx="2">
                  <c:v>26.7</c:v>
                </c:pt>
                <c:pt idx="3">
                  <c:v>28.7</c:v>
                </c:pt>
                <c:pt idx="4">
                  <c:v>31.6</c:v>
                </c:pt>
                <c:pt idx="5">
                  <c:v>31.3</c:v>
                </c:pt>
                <c:pt idx="6">
                  <c:v>32.799999999999997</c:v>
                </c:pt>
                <c:pt idx="7">
                  <c:v>29.3</c:v>
                </c:pt>
                <c:pt idx="8">
                  <c:v>29.02</c:v>
                </c:pt>
              </c:numCache>
            </c:numRef>
          </c:val>
          <c:smooth val="0"/>
          <c:extLst>
            <c:ext xmlns:c16="http://schemas.microsoft.com/office/drawing/2014/chart" uri="{C3380CC4-5D6E-409C-BE32-E72D297353CC}">
              <c16:uniqueId val="{00000000-84CA-45C9-8894-E085B81FFB2F}"/>
            </c:ext>
          </c:extLst>
        </c:ser>
        <c:ser>
          <c:idx val="1"/>
          <c:order val="1"/>
          <c:tx>
            <c:strRef>
              <c:f>Sheet1!$C$1</c:f>
              <c:strCache>
                <c:ptCount val="1"/>
                <c:pt idx="0">
                  <c:v>Non-disabled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12.9</c:v>
                </c:pt>
                <c:pt idx="1">
                  <c:v>11.5</c:v>
                </c:pt>
                <c:pt idx="2">
                  <c:v>13</c:v>
                </c:pt>
                <c:pt idx="3">
                  <c:v>14</c:v>
                </c:pt>
                <c:pt idx="4">
                  <c:v>13.6</c:v>
                </c:pt>
                <c:pt idx="5">
                  <c:v>12.6</c:v>
                </c:pt>
                <c:pt idx="6">
                  <c:v>12</c:v>
                </c:pt>
                <c:pt idx="7">
                  <c:v>11.4</c:v>
                </c:pt>
                <c:pt idx="8">
                  <c:v>10.95</c:v>
                </c:pt>
              </c:numCache>
            </c:numRef>
          </c:val>
          <c:smooth val="0"/>
          <c:extLst>
            <c:ext xmlns:c16="http://schemas.microsoft.com/office/drawing/2014/chart" uri="{C3380CC4-5D6E-409C-BE32-E72D297353CC}">
              <c16:uniqueId val="{00000001-84CA-45C9-8894-E085B81FFB2F}"/>
            </c:ext>
          </c:extLst>
        </c:ser>
        <c:ser>
          <c:idx val="2"/>
          <c:order val="2"/>
          <c:tx>
            <c:strRef>
              <c:f>Sheet1!$D$1</c:f>
              <c:strCache>
                <c:ptCount val="1"/>
                <c:pt idx="0">
                  <c:v>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15.6</c:v>
                </c:pt>
                <c:pt idx="1">
                  <c:v>16</c:v>
                </c:pt>
                <c:pt idx="2">
                  <c:v>12.3</c:v>
                </c:pt>
                <c:pt idx="3">
                  <c:v>14.4</c:v>
                </c:pt>
                <c:pt idx="4">
                  <c:v>14.9</c:v>
                </c:pt>
                <c:pt idx="5">
                  <c:v>13.8</c:v>
                </c:pt>
                <c:pt idx="6">
                  <c:v>14.2</c:v>
                </c:pt>
                <c:pt idx="7">
                  <c:v>14.2</c:v>
                </c:pt>
                <c:pt idx="8">
                  <c:v>13.27</c:v>
                </c:pt>
              </c:numCache>
            </c:numRef>
          </c:val>
          <c:smooth val="0"/>
          <c:extLst>
            <c:ext xmlns:c16="http://schemas.microsoft.com/office/drawing/2014/chart" uri="{C3380CC4-5D6E-409C-BE32-E72D297353CC}">
              <c16:uniqueId val="{00000002-84CA-45C9-8894-E085B81FFB2F}"/>
            </c:ext>
          </c:extLst>
        </c:ser>
        <c:ser>
          <c:idx val="3"/>
          <c:order val="3"/>
          <c:tx>
            <c:strRef>
              <c:f>Sheet1!$E$1</c:f>
              <c:strCache>
                <c:ptCount val="1"/>
                <c:pt idx="0">
                  <c:v>Non-disabled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Sheet1!$E$2:$E$10</c:f>
              <c:numCache>
                <c:formatCode>0.0</c:formatCode>
                <c:ptCount val="9"/>
                <c:pt idx="0">
                  <c:v>9.9</c:v>
                </c:pt>
                <c:pt idx="1">
                  <c:v>8.6</c:v>
                </c:pt>
                <c:pt idx="2">
                  <c:v>9.1</c:v>
                </c:pt>
                <c:pt idx="3">
                  <c:v>8.8000000000000007</c:v>
                </c:pt>
                <c:pt idx="4">
                  <c:v>8.1</c:v>
                </c:pt>
                <c:pt idx="5">
                  <c:v>8.6</c:v>
                </c:pt>
                <c:pt idx="6">
                  <c:v>8.8000000000000007</c:v>
                </c:pt>
                <c:pt idx="7">
                  <c:v>9.3000000000000007</c:v>
                </c:pt>
                <c:pt idx="8">
                  <c:v>9.73</c:v>
                </c:pt>
              </c:numCache>
            </c:numRef>
          </c:val>
          <c:smooth val="0"/>
          <c:extLst>
            <c:ext xmlns:c16="http://schemas.microsoft.com/office/drawing/2014/chart" uri="{C3380CC4-5D6E-409C-BE32-E72D297353CC}">
              <c16:uniqueId val="{00000003-84CA-45C9-8894-E085B81FFB2F}"/>
            </c:ext>
          </c:extLst>
        </c:ser>
        <c:ser>
          <c:idx val="4"/>
          <c:order val="4"/>
          <c:tx>
            <c:strRef>
              <c:f>Sheet1!$F$1</c:f>
              <c:strCache>
                <c:ptCount val="1"/>
                <c:pt idx="0">
                  <c:v>EU average (all 16+)</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Sheet1!$F$2:$F$10</c:f>
              <c:numCache>
                <c:formatCode>General</c:formatCode>
                <c:ptCount val="9"/>
                <c:pt idx="2" formatCode="0.0">
                  <c:v>22.7</c:v>
                </c:pt>
                <c:pt idx="3" formatCode="0.0">
                  <c:v>23.6</c:v>
                </c:pt>
                <c:pt idx="4" formatCode="0.0">
                  <c:v>24.1</c:v>
                </c:pt>
                <c:pt idx="5" formatCode="0.0">
                  <c:v>23.8</c:v>
                </c:pt>
                <c:pt idx="6" formatCode="0.0">
                  <c:v>23.8</c:v>
                </c:pt>
                <c:pt idx="7" formatCode="0.0">
                  <c:v>23.17</c:v>
                </c:pt>
                <c:pt idx="8" formatCode="0.0">
                  <c:v>23.1</c:v>
                </c:pt>
              </c:numCache>
            </c:numRef>
          </c:val>
          <c:smooth val="0"/>
          <c:extLst>
            <c:ext xmlns:c16="http://schemas.microsoft.com/office/drawing/2014/chart" uri="{C3380CC4-5D6E-409C-BE32-E72D297353CC}">
              <c16:uniqueId val="{00000004-84CA-45C9-8894-E085B81FFB2F}"/>
            </c:ext>
          </c:extLst>
        </c:ser>
        <c:dLbls>
          <c:showLegendKey val="0"/>
          <c:showVal val="0"/>
          <c:showCatName val="0"/>
          <c:showSerName val="0"/>
          <c:showPercent val="0"/>
          <c:showBubbleSize val="0"/>
        </c:dLbls>
        <c:marker val="1"/>
        <c:smooth val="0"/>
        <c:axId val="127710720"/>
        <c:axId val="127712256"/>
      </c:lineChart>
      <c:catAx>
        <c:axId val="127710720"/>
        <c:scaling>
          <c:orientation val="minMax"/>
        </c:scaling>
        <c:delete val="0"/>
        <c:axPos val="b"/>
        <c:numFmt formatCode="General" sourceLinked="1"/>
        <c:majorTickMark val="none"/>
        <c:minorTickMark val="none"/>
        <c:tickLblPos val="nextTo"/>
        <c:crossAx val="127712256"/>
        <c:crosses val="autoZero"/>
        <c:auto val="1"/>
        <c:lblAlgn val="ctr"/>
        <c:lblOffset val="100"/>
        <c:noMultiLvlLbl val="0"/>
      </c:catAx>
      <c:valAx>
        <c:axId val="12771225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7107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Sheet1!$B$2:$B$9</c:f>
              <c:numCache>
                <c:formatCode>0.0</c:formatCode>
                <c:ptCount val="8"/>
                <c:pt idx="0">
                  <c:v>73.86</c:v>
                </c:pt>
                <c:pt idx="1">
                  <c:v>55.56</c:v>
                </c:pt>
                <c:pt idx="2">
                  <c:v>28.55</c:v>
                </c:pt>
                <c:pt idx="3">
                  <c:v>45.92</c:v>
                </c:pt>
                <c:pt idx="4">
                  <c:v>50.56</c:v>
                </c:pt>
                <c:pt idx="5">
                  <c:v>67.67</c:v>
                </c:pt>
                <c:pt idx="6">
                  <c:v>80.03</c:v>
                </c:pt>
                <c:pt idx="7">
                  <c:v>48.06</c:v>
                </c:pt>
              </c:numCache>
            </c:numRef>
          </c:val>
          <c:extLst>
            <c:ext xmlns:c16="http://schemas.microsoft.com/office/drawing/2014/chart" uri="{C3380CC4-5D6E-409C-BE32-E72D297353CC}">
              <c16:uniqueId val="{00000000-CE6E-4125-B48C-5A111A8D2ED5}"/>
            </c:ext>
          </c:extLst>
        </c:ser>
        <c:ser>
          <c:idx val="1"/>
          <c:order val="1"/>
          <c:tx>
            <c:strRef>
              <c:f>Sheet1!$C$1</c:f>
              <c:strCache>
                <c:ptCount val="1"/>
                <c:pt idx="0">
                  <c:v>National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Sheet1!$C$2:$C$9</c:f>
              <c:numCache>
                <c:formatCode>0.0</c:formatCode>
                <c:ptCount val="8"/>
                <c:pt idx="0">
                  <c:v>76.69</c:v>
                </c:pt>
                <c:pt idx="1">
                  <c:v>47.71</c:v>
                </c:pt>
                <c:pt idx="2">
                  <c:v>30.84</c:v>
                </c:pt>
                <c:pt idx="3">
                  <c:v>38.450000000000003</c:v>
                </c:pt>
                <c:pt idx="4">
                  <c:v>51.87</c:v>
                </c:pt>
                <c:pt idx="5">
                  <c:v>68.69</c:v>
                </c:pt>
                <c:pt idx="6">
                  <c:v>87.56</c:v>
                </c:pt>
                <c:pt idx="7">
                  <c:v>43.91</c:v>
                </c:pt>
              </c:numCache>
            </c:numRef>
          </c:val>
          <c:extLst>
            <c:ext xmlns:c16="http://schemas.microsoft.com/office/drawing/2014/chart" uri="{C3380CC4-5D6E-409C-BE32-E72D297353CC}">
              <c16:uniqueId val="{00000001-CE6E-4125-B48C-5A111A8D2ED5}"/>
            </c:ext>
          </c:extLst>
        </c:ser>
        <c:dLbls>
          <c:showLegendKey val="0"/>
          <c:showVal val="0"/>
          <c:showCatName val="0"/>
          <c:showSerName val="0"/>
          <c:showPercent val="0"/>
          <c:showBubbleSize val="0"/>
        </c:dLbls>
        <c:gapWidth val="150"/>
        <c:axId val="117182848"/>
        <c:axId val="117184384"/>
      </c:barChart>
      <c:catAx>
        <c:axId val="117182848"/>
        <c:scaling>
          <c:orientation val="minMax"/>
        </c:scaling>
        <c:delete val="0"/>
        <c:axPos val="b"/>
        <c:numFmt formatCode="General" sourceLinked="1"/>
        <c:majorTickMark val="none"/>
        <c:minorTickMark val="none"/>
        <c:tickLblPos val="nextTo"/>
        <c:crossAx val="117184384"/>
        <c:crosses val="autoZero"/>
        <c:auto val="1"/>
        <c:lblAlgn val="ctr"/>
        <c:lblOffset val="100"/>
        <c:noMultiLvlLbl val="0"/>
      </c:catAx>
      <c:valAx>
        <c:axId val="1171843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17182848"/>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24.648298</c:v>
                </c:pt>
                <c:pt idx="1">
                  <c:v>56.882434000000003</c:v>
                </c:pt>
                <c:pt idx="2">
                  <c:v>60.287387000000003</c:v>
                </c:pt>
                <c:pt idx="3">
                  <c:v>56.900861000000006</c:v>
                </c:pt>
                <c:pt idx="4">
                  <c:v>35.118466999999995</c:v>
                </c:pt>
              </c:numCache>
            </c:numRef>
          </c:val>
          <c:smooth val="0"/>
          <c:extLst>
            <c:ext xmlns:c16="http://schemas.microsoft.com/office/drawing/2014/chart" uri="{C3380CC4-5D6E-409C-BE32-E72D297353CC}">
              <c16:uniqueId val="{00000000-E240-4815-BC27-8264096E72F9}"/>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29.845533000000003</c:v>
                </c:pt>
                <c:pt idx="1">
                  <c:v>75.527184000000005</c:v>
                </c:pt>
                <c:pt idx="2">
                  <c:v>84.206758000000008</c:v>
                </c:pt>
                <c:pt idx="3">
                  <c:v>84.717890999999995</c:v>
                </c:pt>
                <c:pt idx="4">
                  <c:v>61.133055000000006</c:v>
                </c:pt>
              </c:numCache>
            </c:numRef>
          </c:val>
          <c:smooth val="0"/>
          <c:extLst>
            <c:ext xmlns:c16="http://schemas.microsoft.com/office/drawing/2014/chart" uri="{C3380CC4-5D6E-409C-BE32-E72D297353CC}">
              <c16:uniqueId val="{00000001-E240-4815-BC27-8264096E72F9}"/>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39.361913999999999</c:v>
                </c:pt>
                <c:pt idx="1">
                  <c:v>50.896529999999998</c:v>
                </c:pt>
                <c:pt idx="2">
                  <c:v>61.507528000000001</c:v>
                </c:pt>
                <c:pt idx="3">
                  <c:v>55.348480000000002</c:v>
                </c:pt>
                <c:pt idx="4">
                  <c:v>27.578074000000001</c:v>
                </c:pt>
              </c:numCache>
            </c:numRef>
          </c:val>
          <c:smooth val="0"/>
          <c:extLst>
            <c:ext xmlns:c16="http://schemas.microsoft.com/office/drawing/2014/chart" uri="{C3380CC4-5D6E-409C-BE32-E72D297353CC}">
              <c16:uniqueId val="{00000002-E240-4815-BC27-8264096E72F9}"/>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30.249684999999999</c:v>
                </c:pt>
                <c:pt idx="1">
                  <c:v>74.132465999999994</c:v>
                </c:pt>
                <c:pt idx="2">
                  <c:v>88.660917999999995</c:v>
                </c:pt>
                <c:pt idx="3">
                  <c:v>90.819141999999999</c:v>
                </c:pt>
                <c:pt idx="4">
                  <c:v>55.430720000000001</c:v>
                </c:pt>
              </c:numCache>
            </c:numRef>
          </c:val>
          <c:smooth val="0"/>
          <c:extLst>
            <c:ext xmlns:c16="http://schemas.microsoft.com/office/drawing/2014/chart" uri="{C3380CC4-5D6E-409C-BE32-E72D297353CC}">
              <c16:uniqueId val="{00000003-E240-4815-BC27-8264096E72F9}"/>
            </c:ext>
          </c:extLst>
        </c:ser>
        <c:dLbls>
          <c:showLegendKey val="0"/>
          <c:showVal val="0"/>
          <c:showCatName val="0"/>
          <c:showSerName val="0"/>
          <c:showPercent val="0"/>
          <c:showBubbleSize val="0"/>
        </c:dLbls>
        <c:marker val="1"/>
        <c:smooth val="0"/>
        <c:axId val="117230592"/>
        <c:axId val="117236480"/>
      </c:lineChart>
      <c:catAx>
        <c:axId val="117230592"/>
        <c:scaling>
          <c:orientation val="minMax"/>
        </c:scaling>
        <c:delete val="0"/>
        <c:axPos val="b"/>
        <c:numFmt formatCode="General" sourceLinked="1"/>
        <c:majorTickMark val="none"/>
        <c:minorTickMark val="none"/>
        <c:tickLblPos val="nextTo"/>
        <c:crossAx val="117236480"/>
        <c:crosses val="autoZero"/>
        <c:auto val="1"/>
        <c:lblAlgn val="ctr"/>
        <c:lblOffset val="100"/>
        <c:noMultiLvlLbl val="0"/>
      </c:catAx>
      <c:valAx>
        <c:axId val="11723648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17230592"/>
        <c:crosses val="autoZero"/>
        <c:crossBetween val="between"/>
        <c:majorUnit val="10"/>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National (disabled)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37.5</c:v>
                </c:pt>
                <c:pt idx="1">
                  <c:v>38.6</c:v>
                </c:pt>
                <c:pt idx="2">
                  <c:v>37.4</c:v>
                </c:pt>
                <c:pt idx="3">
                  <c:v>38.700000000000003</c:v>
                </c:pt>
                <c:pt idx="4">
                  <c:v>38.5</c:v>
                </c:pt>
                <c:pt idx="5">
                  <c:v>40</c:v>
                </c:pt>
                <c:pt idx="6">
                  <c:v>40</c:v>
                </c:pt>
                <c:pt idx="7">
                  <c:v>43</c:v>
                </c:pt>
                <c:pt idx="8">
                  <c:v>43.91</c:v>
                </c:pt>
              </c:numCache>
            </c:numRef>
          </c:val>
          <c:smooth val="0"/>
          <c:extLst>
            <c:ext xmlns:c16="http://schemas.microsoft.com/office/drawing/2014/chart" uri="{C3380CC4-5D6E-409C-BE32-E72D297353CC}">
              <c16:uniqueId val="{00000000-C5DD-46C5-A483-56BDB04E4B3B}"/>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74.599999999999994</c:v>
                </c:pt>
                <c:pt idx="1">
                  <c:v>74.3</c:v>
                </c:pt>
                <c:pt idx="2">
                  <c:v>72.3</c:v>
                </c:pt>
                <c:pt idx="3">
                  <c:v>71.8</c:v>
                </c:pt>
                <c:pt idx="4">
                  <c:v>73.099999999999994</c:v>
                </c:pt>
                <c:pt idx="5">
                  <c:v>74.5</c:v>
                </c:pt>
                <c:pt idx="6">
                  <c:v>75.3</c:v>
                </c:pt>
                <c:pt idx="7">
                  <c:v>76.7</c:v>
                </c:pt>
                <c:pt idx="8">
                  <c:v>76.69</c:v>
                </c:pt>
              </c:numCache>
            </c:numRef>
          </c:val>
          <c:smooth val="0"/>
          <c:extLst>
            <c:ext xmlns:c16="http://schemas.microsoft.com/office/drawing/2014/chart" uri="{C3380CC4-5D6E-409C-BE32-E72D297353CC}">
              <c16:uniqueId val="{00000001-C5DD-46C5-A483-56BDB04E4B3B}"/>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68.7</c:v>
                </c:pt>
                <c:pt idx="1">
                  <c:v>67.599999999999994</c:v>
                </c:pt>
                <c:pt idx="2">
                  <c:v>67.2</c:v>
                </c:pt>
                <c:pt idx="3">
                  <c:v>67.2</c:v>
                </c:pt>
                <c:pt idx="4">
                  <c:v>67</c:v>
                </c:pt>
                <c:pt idx="5">
                  <c:v>66.900000000000006</c:v>
                </c:pt>
                <c:pt idx="6">
                  <c:v>67.8</c:v>
                </c:pt>
                <c:pt idx="7">
                  <c:v>68.37</c:v>
                </c:pt>
                <c:pt idx="8">
                  <c:v>69.3</c:v>
                </c:pt>
              </c:numCache>
            </c:numRef>
          </c:val>
          <c:smooth val="0"/>
          <c:extLst>
            <c:ext xmlns:c16="http://schemas.microsoft.com/office/drawing/2014/chart" uri="{C3380CC4-5D6E-409C-BE32-E72D297353CC}">
              <c16:uniqueId val="{00000002-C5DD-46C5-A483-56BDB04E4B3B}"/>
            </c:ext>
          </c:extLst>
        </c:ser>
        <c:dLbls>
          <c:showLegendKey val="0"/>
          <c:showVal val="0"/>
          <c:showCatName val="0"/>
          <c:showSerName val="0"/>
          <c:showPercent val="0"/>
          <c:showBubbleSize val="0"/>
        </c:dLbls>
        <c:marker val="1"/>
        <c:smooth val="0"/>
        <c:axId val="120324864"/>
        <c:axId val="120326400"/>
      </c:lineChart>
      <c:catAx>
        <c:axId val="120324864"/>
        <c:scaling>
          <c:orientation val="minMax"/>
        </c:scaling>
        <c:delete val="0"/>
        <c:axPos val="b"/>
        <c:numFmt formatCode="General" sourceLinked="1"/>
        <c:majorTickMark val="none"/>
        <c:minorTickMark val="none"/>
        <c:tickLblPos val="nextTo"/>
        <c:crossAx val="120326400"/>
        <c:crosses val="autoZero"/>
        <c:auto val="1"/>
        <c:lblAlgn val="ctr"/>
        <c:lblOffset val="100"/>
        <c:noMultiLvlLbl val="0"/>
      </c:catAx>
      <c:valAx>
        <c:axId val="120326400"/>
        <c:scaling>
          <c:orientation val="minMax"/>
          <c:max val="90"/>
          <c:min val="1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03248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18.79</c:v>
                </c:pt>
                <c:pt idx="1">
                  <c:v>20.350000000000001</c:v>
                </c:pt>
                <c:pt idx="2">
                  <c:v>10.61</c:v>
                </c:pt>
                <c:pt idx="3">
                  <c:v>9.68</c:v>
                </c:pt>
                <c:pt idx="4">
                  <c:v>19.55</c:v>
                </c:pt>
                <c:pt idx="5">
                  <c:v>10.11</c:v>
                </c:pt>
              </c:numCache>
            </c:numRef>
          </c:val>
          <c:extLst>
            <c:ext xmlns:c16="http://schemas.microsoft.com/office/drawing/2014/chart" uri="{C3380CC4-5D6E-409C-BE32-E72D297353CC}">
              <c16:uniqueId val="{00000000-F221-4E95-8F35-43C5F006F7C8}"/>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26.92</c:v>
                </c:pt>
                <c:pt idx="1">
                  <c:v>22.69</c:v>
                </c:pt>
                <c:pt idx="2">
                  <c:v>7.8</c:v>
                </c:pt>
                <c:pt idx="3">
                  <c:v>4.97</c:v>
                </c:pt>
                <c:pt idx="4">
                  <c:v>24.95</c:v>
                </c:pt>
                <c:pt idx="5">
                  <c:v>6.45</c:v>
                </c:pt>
              </c:numCache>
            </c:numRef>
          </c:val>
          <c:extLst>
            <c:ext xmlns:c16="http://schemas.microsoft.com/office/drawing/2014/chart" uri="{C3380CC4-5D6E-409C-BE32-E72D297353CC}">
              <c16:uniqueId val="{00000001-F221-4E95-8F35-43C5F006F7C8}"/>
            </c:ext>
          </c:extLst>
        </c:ser>
        <c:dLbls>
          <c:showLegendKey val="0"/>
          <c:showVal val="0"/>
          <c:showCatName val="0"/>
          <c:showSerName val="0"/>
          <c:showPercent val="0"/>
          <c:showBubbleSize val="0"/>
        </c:dLbls>
        <c:gapWidth val="150"/>
        <c:axId val="120362112"/>
        <c:axId val="120363648"/>
      </c:barChart>
      <c:catAx>
        <c:axId val="120362112"/>
        <c:scaling>
          <c:orientation val="minMax"/>
        </c:scaling>
        <c:delete val="0"/>
        <c:axPos val="b"/>
        <c:numFmt formatCode="General" sourceLinked="1"/>
        <c:majorTickMark val="none"/>
        <c:minorTickMark val="none"/>
        <c:tickLblPos val="nextTo"/>
        <c:crossAx val="120363648"/>
        <c:crosses val="autoZero"/>
        <c:auto val="1"/>
        <c:lblAlgn val="ctr"/>
        <c:lblOffset val="100"/>
        <c:noMultiLvlLbl val="0"/>
      </c:catAx>
      <c:valAx>
        <c:axId val="12036364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03621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29.421489999999999</c:v>
                </c:pt>
                <c:pt idx="1">
                  <c:v>19.999627</c:v>
                </c:pt>
                <c:pt idx="2">
                  <c:v>18.628742000000003</c:v>
                </c:pt>
                <c:pt idx="3">
                  <c:v>17.531600999999998</c:v>
                </c:pt>
                <c:pt idx="4">
                  <c:v>21.226018</c:v>
                </c:pt>
              </c:numCache>
            </c:numRef>
          </c:val>
          <c:smooth val="0"/>
          <c:extLst>
            <c:ext xmlns:c16="http://schemas.microsoft.com/office/drawing/2014/chart" uri="{C3380CC4-5D6E-409C-BE32-E72D297353CC}">
              <c16:uniqueId val="{00000000-214C-4A76-86E0-75917E0C695F}"/>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21.915232</c:v>
                </c:pt>
                <c:pt idx="1">
                  <c:v>11.923494</c:v>
                </c:pt>
                <c:pt idx="2">
                  <c:v>8.4841749999999987</c:v>
                </c:pt>
                <c:pt idx="3">
                  <c:v>7.5628909999999996</c:v>
                </c:pt>
                <c:pt idx="4">
                  <c:v>9.7703689999999987</c:v>
                </c:pt>
              </c:numCache>
            </c:numRef>
          </c:val>
          <c:smooth val="0"/>
          <c:extLst>
            <c:ext xmlns:c16="http://schemas.microsoft.com/office/drawing/2014/chart" uri="{C3380CC4-5D6E-409C-BE32-E72D297353CC}">
              <c16:uniqueId val="{00000001-214C-4A76-86E0-75917E0C695F}"/>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28.779685999999998</c:v>
                </c:pt>
                <c:pt idx="1">
                  <c:v>19.005600000000001</c:v>
                </c:pt>
                <c:pt idx="2">
                  <c:v>20.432490999999999</c:v>
                </c:pt>
                <c:pt idx="3">
                  <c:v>24.933425</c:v>
                </c:pt>
                <c:pt idx="4">
                  <c:v>30.742981000000004</c:v>
                </c:pt>
              </c:numCache>
            </c:numRef>
          </c:val>
          <c:smooth val="0"/>
          <c:extLst>
            <c:ext xmlns:c16="http://schemas.microsoft.com/office/drawing/2014/chart" uri="{C3380CC4-5D6E-409C-BE32-E72D297353CC}">
              <c16:uniqueId val="{00000002-214C-4A76-86E0-75917E0C695F}"/>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21.161872000000002</c:v>
                </c:pt>
                <c:pt idx="1">
                  <c:v>5.4640139999999997</c:v>
                </c:pt>
                <c:pt idx="2">
                  <c:v>4.7818670000000001</c:v>
                </c:pt>
                <c:pt idx="3">
                  <c:v>6.5667870000000006</c:v>
                </c:pt>
                <c:pt idx="4">
                  <c:v>8.0094349999999999</c:v>
                </c:pt>
              </c:numCache>
            </c:numRef>
          </c:val>
          <c:smooth val="0"/>
          <c:extLst>
            <c:ext xmlns:c16="http://schemas.microsoft.com/office/drawing/2014/chart" uri="{C3380CC4-5D6E-409C-BE32-E72D297353CC}">
              <c16:uniqueId val="{00000003-214C-4A76-86E0-75917E0C695F}"/>
            </c:ext>
          </c:extLst>
        </c:ser>
        <c:dLbls>
          <c:showLegendKey val="0"/>
          <c:showVal val="0"/>
          <c:showCatName val="0"/>
          <c:showSerName val="0"/>
          <c:showPercent val="0"/>
          <c:showBubbleSize val="0"/>
        </c:dLbls>
        <c:marker val="1"/>
        <c:smooth val="0"/>
        <c:axId val="125809024"/>
        <c:axId val="125810560"/>
      </c:lineChart>
      <c:catAx>
        <c:axId val="125809024"/>
        <c:scaling>
          <c:orientation val="minMax"/>
        </c:scaling>
        <c:delete val="0"/>
        <c:axPos val="b"/>
        <c:numFmt formatCode="General" sourceLinked="1"/>
        <c:majorTickMark val="none"/>
        <c:minorTickMark val="none"/>
        <c:tickLblPos val="nextTo"/>
        <c:crossAx val="125810560"/>
        <c:crosses val="autoZero"/>
        <c:auto val="1"/>
        <c:lblAlgn val="ctr"/>
        <c:lblOffset val="100"/>
        <c:noMultiLvlLbl val="0"/>
      </c:catAx>
      <c:valAx>
        <c:axId val="12581056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8090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National (disabled)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24.7</c:v>
                </c:pt>
                <c:pt idx="1">
                  <c:v>23.3</c:v>
                </c:pt>
                <c:pt idx="2">
                  <c:v>24.5</c:v>
                </c:pt>
                <c:pt idx="3">
                  <c:v>21.4</c:v>
                </c:pt>
                <c:pt idx="4">
                  <c:v>23.6</c:v>
                </c:pt>
                <c:pt idx="5">
                  <c:v>24.2</c:v>
                </c:pt>
                <c:pt idx="6">
                  <c:v>26.3</c:v>
                </c:pt>
                <c:pt idx="7">
                  <c:v>23.8</c:v>
                </c:pt>
                <c:pt idx="8">
                  <c:v>24.95</c:v>
                </c:pt>
              </c:numCache>
            </c:numRef>
          </c:val>
          <c:smooth val="0"/>
          <c:extLst>
            <c:ext xmlns:c16="http://schemas.microsoft.com/office/drawing/2014/chart" uri="{C3380CC4-5D6E-409C-BE32-E72D297353CC}">
              <c16:uniqueId val="{00000000-28F3-4F56-8DBD-166938F3580F}"/>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7.1</c:v>
                </c:pt>
                <c:pt idx="1">
                  <c:v>7.1</c:v>
                </c:pt>
                <c:pt idx="2">
                  <c:v>9</c:v>
                </c:pt>
                <c:pt idx="3">
                  <c:v>8.9</c:v>
                </c:pt>
                <c:pt idx="4">
                  <c:v>8</c:v>
                </c:pt>
                <c:pt idx="5">
                  <c:v>8.4</c:v>
                </c:pt>
                <c:pt idx="6">
                  <c:v>8.1999999999999993</c:v>
                </c:pt>
                <c:pt idx="7">
                  <c:v>6.9</c:v>
                </c:pt>
                <c:pt idx="8">
                  <c:v>6.45</c:v>
                </c:pt>
              </c:numCache>
            </c:numRef>
          </c:val>
          <c:smooth val="0"/>
          <c:extLst>
            <c:ext xmlns:c16="http://schemas.microsoft.com/office/drawing/2014/chart" uri="{C3380CC4-5D6E-409C-BE32-E72D297353CC}">
              <c16:uniqueId val="{00000001-28F3-4F56-8DBD-166938F3580F}"/>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8.4</c:v>
                </c:pt>
                <c:pt idx="1">
                  <c:v>10.199999999999999</c:v>
                </c:pt>
                <c:pt idx="2">
                  <c:v>10.9</c:v>
                </c:pt>
                <c:pt idx="3">
                  <c:v>11.3</c:v>
                </c:pt>
                <c:pt idx="4">
                  <c:v>12.2</c:v>
                </c:pt>
                <c:pt idx="5">
                  <c:v>12.9</c:v>
                </c:pt>
                <c:pt idx="6">
                  <c:v>12.6</c:v>
                </c:pt>
                <c:pt idx="7">
                  <c:v>12.1</c:v>
                </c:pt>
                <c:pt idx="8">
                  <c:v>11.4</c:v>
                </c:pt>
              </c:numCache>
            </c:numRef>
          </c:val>
          <c:smooth val="0"/>
          <c:extLst>
            <c:ext xmlns:c16="http://schemas.microsoft.com/office/drawing/2014/chart" uri="{C3380CC4-5D6E-409C-BE32-E72D297353CC}">
              <c16:uniqueId val="{00000002-28F3-4F56-8DBD-166938F3580F}"/>
            </c:ext>
          </c:extLst>
        </c:ser>
        <c:dLbls>
          <c:showLegendKey val="0"/>
          <c:showVal val="0"/>
          <c:showCatName val="0"/>
          <c:showSerName val="0"/>
          <c:showPercent val="0"/>
          <c:showBubbleSize val="0"/>
        </c:dLbls>
        <c:marker val="1"/>
        <c:smooth val="0"/>
        <c:axId val="125990784"/>
        <c:axId val="125992320"/>
      </c:lineChart>
      <c:catAx>
        <c:axId val="125990784"/>
        <c:scaling>
          <c:orientation val="minMax"/>
        </c:scaling>
        <c:delete val="0"/>
        <c:axPos val="b"/>
        <c:numFmt formatCode="General" sourceLinked="1"/>
        <c:majorTickMark val="none"/>
        <c:minorTickMark val="none"/>
        <c:tickLblPos val="nextTo"/>
        <c:crossAx val="125992320"/>
        <c:crosses val="autoZero"/>
        <c:auto val="1"/>
        <c:lblAlgn val="ctr"/>
        <c:lblOffset val="100"/>
        <c:noMultiLvlLbl val="0"/>
      </c:catAx>
      <c:valAx>
        <c:axId val="125992320"/>
        <c:scaling>
          <c:orientation val="minMax"/>
          <c:max val="50"/>
          <c:min val="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99078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56.54</c:v>
                </c:pt>
                <c:pt idx="1">
                  <c:v>63.48</c:v>
                </c:pt>
                <c:pt idx="2">
                  <c:v>75.7</c:v>
                </c:pt>
                <c:pt idx="3">
                  <c:v>88.6</c:v>
                </c:pt>
                <c:pt idx="4">
                  <c:v>59.74</c:v>
                </c:pt>
                <c:pt idx="5">
                  <c:v>82.17</c:v>
                </c:pt>
              </c:numCache>
            </c:numRef>
          </c:val>
          <c:extLst>
            <c:ext xmlns:c16="http://schemas.microsoft.com/office/drawing/2014/chart" uri="{C3380CC4-5D6E-409C-BE32-E72D297353CC}">
              <c16:uniqueId val="{00000000-E6E8-4B19-A22D-0A3749E55FAC}"/>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52.62</c:v>
                </c:pt>
                <c:pt idx="1">
                  <c:v>67.09</c:v>
                </c:pt>
                <c:pt idx="2">
                  <c:v>74.5</c:v>
                </c:pt>
                <c:pt idx="3">
                  <c:v>92.14</c:v>
                </c:pt>
                <c:pt idx="4">
                  <c:v>58.51</c:v>
                </c:pt>
                <c:pt idx="5">
                  <c:v>81.97</c:v>
                </c:pt>
              </c:numCache>
            </c:numRef>
          </c:val>
          <c:extLst>
            <c:ext xmlns:c16="http://schemas.microsoft.com/office/drawing/2014/chart" uri="{C3380CC4-5D6E-409C-BE32-E72D297353CC}">
              <c16:uniqueId val="{00000001-E6E8-4B19-A22D-0A3749E55FAC}"/>
            </c:ext>
          </c:extLst>
        </c:ser>
        <c:dLbls>
          <c:showLegendKey val="0"/>
          <c:showVal val="0"/>
          <c:showCatName val="0"/>
          <c:showSerName val="0"/>
          <c:showPercent val="0"/>
          <c:showBubbleSize val="0"/>
        </c:dLbls>
        <c:gapWidth val="150"/>
        <c:axId val="126388096"/>
        <c:axId val="126389632"/>
      </c:barChart>
      <c:catAx>
        <c:axId val="126388096"/>
        <c:scaling>
          <c:orientation val="minMax"/>
        </c:scaling>
        <c:delete val="0"/>
        <c:axPos val="b"/>
        <c:numFmt formatCode="General" sourceLinked="1"/>
        <c:majorTickMark val="none"/>
        <c:minorTickMark val="none"/>
        <c:tickLblPos val="nextTo"/>
        <c:crossAx val="126389632"/>
        <c:crosses val="autoZero"/>
        <c:auto val="1"/>
        <c:lblAlgn val="ctr"/>
        <c:lblOffset val="100"/>
        <c:noMultiLvlLbl val="0"/>
      </c:catAx>
      <c:valAx>
        <c:axId val="12638963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63880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34.923232999999996</c:v>
                </c:pt>
                <c:pt idx="1">
                  <c:v>71.102710000000002</c:v>
                </c:pt>
                <c:pt idx="2">
                  <c:v>74.089289000000008</c:v>
                </c:pt>
                <c:pt idx="3">
                  <c:v>68.997169999999997</c:v>
                </c:pt>
                <c:pt idx="4">
                  <c:v>44.581302000000001</c:v>
                </c:pt>
              </c:numCache>
            </c:numRef>
          </c:val>
          <c:smooth val="0"/>
          <c:extLst>
            <c:ext xmlns:c16="http://schemas.microsoft.com/office/drawing/2014/chart" uri="{C3380CC4-5D6E-409C-BE32-E72D297353CC}">
              <c16:uniqueId val="{00000000-58B3-41CD-BFA6-4C0FC7CE670D}"/>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38.221966000000002</c:v>
                </c:pt>
                <c:pt idx="1">
                  <c:v>85.751794000000004</c:v>
                </c:pt>
                <c:pt idx="2">
                  <c:v>92.013328999999999</c:v>
                </c:pt>
                <c:pt idx="3">
                  <c:v>91.649221999999995</c:v>
                </c:pt>
                <c:pt idx="4">
                  <c:v>67.752748999999994</c:v>
                </c:pt>
              </c:numCache>
            </c:numRef>
          </c:val>
          <c:smooth val="0"/>
          <c:extLst>
            <c:ext xmlns:c16="http://schemas.microsoft.com/office/drawing/2014/chart" uri="{C3380CC4-5D6E-409C-BE32-E72D297353CC}">
              <c16:uniqueId val="{00000001-58B3-41CD-BFA6-4C0FC7CE670D}"/>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55.267818999999996</c:v>
                </c:pt>
                <c:pt idx="1">
                  <c:v>62.839566999999995</c:v>
                </c:pt>
                <c:pt idx="2">
                  <c:v>77.302317000000002</c:v>
                </c:pt>
                <c:pt idx="3">
                  <c:v>73.732523</c:v>
                </c:pt>
                <c:pt idx="4">
                  <c:v>39.819897999999995</c:v>
                </c:pt>
              </c:numCache>
            </c:numRef>
          </c:val>
          <c:smooth val="0"/>
          <c:extLst>
            <c:ext xmlns:c16="http://schemas.microsoft.com/office/drawing/2014/chart" uri="{C3380CC4-5D6E-409C-BE32-E72D297353CC}">
              <c16:uniqueId val="{00000002-58B3-41CD-BFA6-4C0FC7CE670D}"/>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38.36936</c:v>
                </c:pt>
                <c:pt idx="1">
                  <c:v>78.417192999999997</c:v>
                </c:pt>
                <c:pt idx="2">
                  <c:v>93.113482000000005</c:v>
                </c:pt>
                <c:pt idx="3">
                  <c:v>97.202204000000009</c:v>
                </c:pt>
                <c:pt idx="4">
                  <c:v>60.256962000000001</c:v>
                </c:pt>
              </c:numCache>
            </c:numRef>
          </c:val>
          <c:smooth val="0"/>
          <c:extLst>
            <c:ext xmlns:c16="http://schemas.microsoft.com/office/drawing/2014/chart" uri="{C3380CC4-5D6E-409C-BE32-E72D297353CC}">
              <c16:uniqueId val="{00000003-58B3-41CD-BFA6-4C0FC7CE670D}"/>
            </c:ext>
          </c:extLst>
        </c:ser>
        <c:dLbls>
          <c:showLegendKey val="0"/>
          <c:showVal val="0"/>
          <c:showCatName val="0"/>
          <c:showSerName val="0"/>
          <c:showPercent val="0"/>
          <c:showBubbleSize val="0"/>
        </c:dLbls>
        <c:marker val="1"/>
        <c:smooth val="0"/>
        <c:axId val="126964480"/>
        <c:axId val="126966016"/>
      </c:lineChart>
      <c:catAx>
        <c:axId val="126964480"/>
        <c:scaling>
          <c:orientation val="minMax"/>
        </c:scaling>
        <c:delete val="0"/>
        <c:axPos val="b"/>
        <c:numFmt formatCode="General" sourceLinked="1"/>
        <c:majorTickMark val="none"/>
        <c:minorTickMark val="none"/>
        <c:tickLblPos val="nextTo"/>
        <c:crossAx val="126966016"/>
        <c:crosses val="autoZero"/>
        <c:auto val="1"/>
        <c:lblAlgn val="ctr"/>
        <c:lblOffset val="100"/>
        <c:noMultiLvlLbl val="0"/>
      </c:catAx>
      <c:valAx>
        <c:axId val="12696601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696448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B65F3-37BC-4DB8-B3A9-B8720682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12170</Words>
  <Characters>66940</Characters>
  <Application>Microsoft Office Word</Application>
  <DocSecurity>0</DocSecurity>
  <Lines>557</Lines>
  <Paragraphs>157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University of Leeds</Company>
  <LinksUpToDate>false</LinksUpToDate>
  <CharactersWithSpaces>78953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Beresford [ss10jfbb]</dc:creator>
  <cp:keywords/>
  <dc:description/>
  <cp:lastModifiedBy>Rebecca van Midden</cp:lastModifiedBy>
  <cp:revision>4</cp:revision>
  <cp:lastPrinted>2018-06-28T09:13:00Z</cp:lastPrinted>
  <dcterms:created xsi:type="dcterms:W3CDTF">2019-03-04T14:12:00Z</dcterms:created>
  <dcterms:modified xsi:type="dcterms:W3CDTF">2019-03-04T14:13:00Z</dcterms:modified>
</cp:coreProperties>
</file>